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Gujarat Containers Ltd</w:t>
      </w:r>
    </w:p>
    <w:p>
      <w:pPr>
        <w:pBdr>
          <w:bottom w:val="single" w:color="CCCCCC" w:sz="6" w:space="8"/>
        </w:pBdr>
        <w:spacing w:after="200"/>
      </w:pPr>
      <w:r>
        <w:rPr>
          <w:i/>
          <w:iCs/>
          <w:color w:val="666666"/>
          <w:sz w:val="22"/>
          <w:szCs w:val="22"/>
        </w:rPr>
        <w:t xml:space="preserve">BSE: 513507 (GUJCONT) | Microcap steel barrel/container manufacturer, Ahmedabad</w:t>
      </w:r>
    </w:p>
    <w:p>
      <w:pPr>
        <w:pStyle w:val="Heading1"/>
        <w:spacing w:after="120" w:before="280"/>
      </w:pPr>
      <w:r>
        <w:t xml:space="preserve">Business Overview</w:t>
      </w:r>
    </w:p>
    <w:p>
      <w:pPr>
        <w:spacing w:after="120"/>
      </w:pPr>
      <w:r>
        <w:t xml:space="preserve">Gujarat Containers manufactures stainless steel barrels/drums (5-235 litre), airtight and conical containers, and SS bottles from its Odhav, Ahmedabad facility, positioning on above-standard build quality (UN-specification certifiable) and 100% recyclable material.</w:t>
      </w:r>
    </w:p>
    <w:p>
      <w:pPr>
        <w:pStyle w:val="Heading1"/>
        <w:spacing w:after="120" w:before="280"/>
      </w:pPr>
      <w:r>
        <w:t xml:space="preserve">Source / Conviction Notes (from original sheet)</w:t>
      </w:r>
    </w:p>
    <w:p>
      <w:pPr>
        <w:spacing w:after="120"/>
      </w:pPr>
      <w:r>
        <w:t xml:space="preserve">Source sheet grouped it with Asahi Songwon Colors as having 'similar solid engagement levels on positive results posts.' No dedicated ValuePickr thread was found for this specific listed entity in this research pass (search results returned only the company's own commercial/business listings, not forum discussion) - engagement referenced in the sheet is most likely from X/Twitter around a results post rather than ValuePickr.</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CMP (approx.)</w:t>
            </w:r>
          </w:p>
        </w:tc>
        <w:tc>
          <w:tcPr>
            <w:tcW w:type="dxa" w:w="5800"/>
          </w:tcPr>
          <w:p>
            <w:r>
              <w:t xml:space="preserve">Rs 160</w:t>
            </w:r>
          </w:p>
        </w:tc>
      </w:tr>
      <w:tr>
        <w:tc>
          <w:tcPr>
            <w:tcW w:type="dxa" w:w="3200"/>
            <w:shd w:fill="F2F2F2" w:val="clear"/>
          </w:tcPr>
          <w:p>
            <w:r>
              <w:rPr>
                <w:b/>
                <w:bCs/>
              </w:rPr>
              <w:t xml:space="preserve">Market Cap</w:t>
            </w:r>
          </w:p>
        </w:tc>
        <w:tc>
          <w:tcPr>
            <w:tcW w:type="dxa" w:w="5800"/>
          </w:tcPr>
          <w:p>
            <w:r>
              <w:t xml:space="preserve">Rs 90.4 Cr (microcap)</w:t>
            </w:r>
          </w:p>
        </w:tc>
      </w:tr>
      <w:tr>
        <w:tc>
          <w:tcPr>
            <w:tcW w:type="dxa" w:w="3200"/>
            <w:shd w:fill="F2F2F2" w:val="clear"/>
          </w:tcPr>
          <w:p>
            <w:r>
              <w:rPr>
                <w:b/>
                <w:bCs/>
              </w:rPr>
              <w:t xml:space="preserve">P/E</w:t>
            </w:r>
          </w:p>
        </w:tc>
        <w:tc>
          <w:tcPr>
            <w:tcW w:type="dxa" w:w="5800"/>
          </w:tcPr>
          <w:p>
            <w:r>
              <w:t xml:space="preserve">9.55x</w:t>
            </w:r>
          </w:p>
        </w:tc>
      </w:tr>
      <w:tr>
        <w:tc>
          <w:tcPr>
            <w:tcW w:type="dxa" w:w="3200"/>
            <w:shd w:fill="F2F2F2" w:val="clear"/>
          </w:tcPr>
          <w:p>
            <w:r>
              <w:rPr>
                <w:b/>
                <w:bCs/>
              </w:rPr>
              <w:t xml:space="preserve">Price/Book</w:t>
            </w:r>
          </w:p>
        </w:tc>
        <w:tc>
          <w:tcPr>
            <w:tcW w:type="dxa" w:w="5800"/>
          </w:tcPr>
          <w:p>
            <w:r>
              <w:t xml:space="preserve">1.57x (Book Value Rs 102)</w:t>
            </w:r>
          </w:p>
        </w:tc>
      </w:tr>
      <w:tr>
        <w:tc>
          <w:tcPr>
            <w:tcW w:type="dxa" w:w="3200"/>
            <w:shd w:fill="F2F2F2" w:val="clear"/>
          </w:tcPr>
          <w:p>
            <w:r>
              <w:rPr>
                <w:b/>
                <w:bCs/>
              </w:rPr>
              <w:t xml:space="preserve">ROCE / ROE</w:t>
            </w:r>
          </w:p>
        </w:tc>
        <w:tc>
          <w:tcPr>
            <w:tcW w:type="dxa" w:w="5800"/>
          </w:tcPr>
          <w:p>
            <w:r>
              <w:t xml:space="preserve">16.3% / 13.6%</w:t>
            </w:r>
          </w:p>
        </w:tc>
      </w:tr>
      <w:tr>
        <w:tc>
          <w:tcPr>
            <w:tcW w:type="dxa" w:w="3200"/>
            <w:shd w:fill="F2F2F2" w:val="clear"/>
          </w:tcPr>
          <w:p>
            <w:r>
              <w:rPr>
                <w:b/>
                <w:bCs/>
              </w:rPr>
              <w:t xml:space="preserve">Sales Growth 3yr/5yr/TTM (CAGR)</w:t>
            </w:r>
          </w:p>
        </w:tc>
        <w:tc>
          <w:tcPr>
            <w:tcW w:type="dxa" w:w="5800"/>
          </w:tcPr>
          <w:p>
            <w:r>
              <w:t xml:space="preserve">2% / 11% / 7%</w:t>
            </w:r>
          </w:p>
        </w:tc>
      </w:tr>
      <w:tr>
        <w:tc>
          <w:tcPr>
            <w:tcW w:type="dxa" w:w="3200"/>
            <w:shd w:fill="F2F2F2" w:val="clear"/>
          </w:tcPr>
          <w:p>
            <w:r>
              <w:rPr>
                <w:b/>
                <w:bCs/>
              </w:rPr>
              <w:t xml:space="preserve">Profit Growth 3yr/5yr/TTM (CAGR)</w:t>
            </w:r>
          </w:p>
        </w:tc>
        <w:tc>
          <w:tcPr>
            <w:tcW w:type="dxa" w:w="5800"/>
          </w:tcPr>
          <w:p>
            <w:r>
              <w:t xml:space="preserve">-13% / 21% / 27%</w:t>
            </w:r>
          </w:p>
        </w:tc>
      </w:tr>
      <w:tr>
        <w:tc>
          <w:tcPr>
            <w:tcW w:type="dxa" w:w="3200"/>
            <w:shd w:fill="F2F2F2" w:val="clear"/>
          </w:tcPr>
          <w:p>
            <w:r>
              <w:rPr>
                <w:b/>
                <w:bCs/>
              </w:rPr>
              <w:t xml:space="preserve">Debt</w:t>
            </w:r>
          </w:p>
        </w:tc>
        <w:tc>
          <w:tcPr>
            <w:tcW w:type="dxa" w:w="5800"/>
          </w:tcPr>
          <w:p>
            <w:r>
              <w:t xml:space="preserve">Rs 4 Cr (de-levered sharply from Rs 25 Cr in Mar 2024)</w:t>
            </w:r>
          </w:p>
        </w:tc>
      </w:tr>
      <w:tr>
        <w:tc>
          <w:tcPr>
            <w:tcW w:type="dxa" w:w="3200"/>
            <w:shd w:fill="F2F2F2" w:val="clear"/>
          </w:tcPr>
          <w:p>
            <w:r>
              <w:rPr>
                <w:b/>
                <w:bCs/>
              </w:rPr>
              <w:t xml:space="preserve">Promoter Holding</w:t>
            </w:r>
          </w:p>
        </w:tc>
        <w:tc>
          <w:tcPr>
            <w:tcW w:type="dxa" w:w="5800"/>
          </w:tcPr>
          <w:p>
            <w:r>
              <w:t xml:space="preserve">59.66%, stable</w:t>
            </w:r>
          </w:p>
        </w:tc>
      </w:tr>
      <w:tr>
        <w:tc>
          <w:tcPr>
            <w:tcW w:type="dxa" w:w="3200"/>
            <w:shd w:fill="F2F2F2" w:val="clear"/>
          </w:tcPr>
          <w:p>
            <w:r>
              <w:rPr>
                <w:b/>
                <w:bCs/>
              </w:rPr>
              <w:t xml:space="preserve">Latest Quarters (Rev / PAT, Rs Cr)</w:t>
            </w:r>
          </w:p>
        </w:tc>
        <w:tc>
          <w:tcPr>
            <w:tcW w:type="dxa" w:w="5800"/>
          </w:tcPr>
          <w:p>
            <w:r>
              <w:t xml:space="preserve">Q1 FY26: 46.58 / 3.76 | Q4 FY25: 36.90 / 2.34 | Q3 FY25: 37.02 / 2.01 | Q2 FY25: 36.42 / 1.66</w:t>
            </w:r>
          </w:p>
        </w:tc>
      </w:tr>
    </w:tbl>
    <w:p>
      <w:pPr>
        <w:spacing w:after="100"/>
      </w:pPr>
    </w:p>
    <w:p>
      <w:pPr>
        <w:spacing w:after="120"/>
      </w:pPr>
      <w:r>
        <w:t xml:space="preserve">Recent quarters show a genuine, consistent sequential improvement in both revenue and PAT, and the company has meaningfully de-levered (debt down from Rs 25 Cr to Rs 4 Cr). However, Screener flags real deterioration underneath the recent quarters: 3-year profit CAGR is negative (-13%), operating margins have compressed from 13% (Mar 2023) to 9% (Mar 2026), and working-capital days have worsened sharply (53.5 to 83.6 days) - a genuine liquidity-pressure signal, not just a cosmetic metric.</w:t>
      </w:r>
    </w:p>
    <w:p>
      <w:pPr>
        <w:pStyle w:val="Heading1"/>
        <w:spacing w:after="120" w:before="280"/>
      </w:pPr>
      <w:r>
        <w:t xml:space="preserve">Technical Read (Weekly / Monthly)</w:t>
      </w:r>
    </w:p>
    <w:p>
      <w:pPr>
        <w:spacing w:after="120"/>
      </w:pPr>
      <w:r>
        <w:t xml:space="preserve">Weekly: MACD Level +2.01 (technically Buy but negligible in magnitude), RSI(14) 50.2 (perfectly neutral), moving averages genuinely mixed (short-term 10/20-period Sell, medium-term 30/50-period Buy, longer 100/200-period Sell) - this is a rangebound, directionless stock, not a trending one. Monthly: MACD Level -1.43 (Sell), RSI(14) 48.8 (neutral), moving averages skew Sell (8 Sell vs 4 Buy) - confirms the weekly picture. Read: unlike most other names in this batch, Gujarat Containers shows no clear directional technical trend on either timeframe - consistent with Screener's reported -8% 1-year and -6% 3-year price returns. This is a stock the market has not yet re-rated, for better or worse.</w:t>
      </w:r>
    </w:p>
    <w:p>
      <w:pPr>
        <w:pStyle w:val="Heading1"/>
        <w:spacing w:after="120" w:before="280"/>
      </w:pPr>
      <w:r>
        <w:t xml:space="preserve">ValuePickr + X Sentiment</w:t>
      </w:r>
    </w:p>
    <w:p>
      <w:pPr>
        <w:spacing w:after="120"/>
      </w:pPr>
      <w:r>
        <w:t xml:space="preserve">No dedicated ValuePickr thread was located for this company in this research pass. The 'solid engagement' referenced in the source sheet could not be independently traced to a specific forum or X post; it's treated here as an unverified claim rather than confirmed community conviction.</w:t>
      </w:r>
    </w:p>
    <w:p>
      <w:pPr>
        <w:pStyle w:val="Heading1"/>
        <w:spacing w:after="120" w:before="280"/>
      </w:pPr>
      <w:r>
        <w:t xml:space="preserve">BSE Corporate Actions / Red Flags</w:t>
      </w:r>
    </w:p>
    <w:p>
      <w:pPr>
        <w:spacing w:after="120"/>
      </w:pPr>
      <w:r>
        <w:t xml:space="preserve">No SEBI action or pledging found. Promoter holding stable at 59.66%. The sharp de-leveraging (debt cut by over 80% in two years) is a genuine positive balance-sheet signal worth noting even amid the margin-compression concerns.</w:t>
      </w:r>
    </w:p>
    <w:p>
      <w:pPr>
        <w:pStyle w:val="Heading1"/>
        <w:spacing w:after="120" w:before="280"/>
      </w:pPr>
      <w:r>
        <w:t xml:space="preserve">Bull Case</w:t>
      </w:r>
    </w:p>
    <w:p>
      <w:pPr>
        <w:pStyle w:val="ListParagraph"/>
        <w:numPr>
          <w:ilvl w:val="0"/>
          <w:numId w:val="1"/>
        </w:numPr>
        <w:spacing w:after="60"/>
      </w:pPr>
      <w:r>
        <w:t xml:space="preserve">Real, consistent sequential revenue and PAT growth over the last 4 reported quarters</w:t>
      </w:r>
    </w:p>
    <w:p>
      <w:pPr>
        <w:pStyle w:val="ListParagraph"/>
        <w:numPr>
          <w:ilvl w:val="0"/>
          <w:numId w:val="1"/>
        </w:numPr>
        <w:spacing w:after="60"/>
      </w:pPr>
      <w:r>
        <w:t xml:space="preserve">Sharp de-leveraging - debt cut from Rs 25 Cr to Rs 4 Cr in two years, meaningfully de-risking the balance sheet</w:t>
      </w:r>
    </w:p>
    <w:p>
      <w:pPr>
        <w:pStyle w:val="ListParagraph"/>
        <w:numPr>
          <w:ilvl w:val="0"/>
          <w:numId w:val="1"/>
        </w:numPr>
        <w:spacing w:after="60"/>
      </w:pPr>
      <w:r>
        <w:t xml:space="preserve">Inexpensive on both P/E (9.6x) and P/B (1.6x) relative to the growth shown in recent quarters</w:t>
      </w:r>
    </w:p>
    <w:p>
      <w:pPr>
        <w:pStyle w:val="ListParagraph"/>
        <w:numPr>
          <w:ilvl w:val="0"/>
          <w:numId w:val="1"/>
        </w:numPr>
        <w:spacing w:after="60"/>
      </w:pPr>
      <w:r>
        <w:t xml:space="preserve">Genuine microcap (Rs 90 Cr) with real theoretical headroom for a re-rating if the recent quarterly trend continues</w:t>
      </w:r>
    </w:p>
    <w:p>
      <w:pPr>
        <w:pStyle w:val="Heading1"/>
        <w:spacing w:after="120" w:before="280"/>
      </w:pPr>
      <w:r>
        <w:t xml:space="preserve">Bear Case / Key Risks</w:t>
      </w:r>
    </w:p>
    <w:p>
      <w:pPr>
        <w:pStyle w:val="ListParagraph"/>
        <w:numPr>
          <w:ilvl w:val="0"/>
          <w:numId w:val="1"/>
        </w:numPr>
        <w:spacing w:after="60"/>
      </w:pPr>
      <w:r>
        <w:t xml:space="preserve">3-year profit CAGR is negative (-13%) and operating margins have compressed from 13% to 9% over three years - the recent quarters are a partial recovery, not a proven new trend</w:t>
      </w:r>
    </w:p>
    <w:p>
      <w:pPr>
        <w:pStyle w:val="ListParagraph"/>
        <w:numPr>
          <w:ilvl w:val="0"/>
          <w:numId w:val="1"/>
        </w:numPr>
        <w:spacing w:after="60"/>
      </w:pPr>
      <w:r>
        <w:t xml:space="preserve">Working capital days worsening sharply (53.5 to 83.6) is a genuine liquidity-stress signal that predates and could offset the recent profit improvement</w:t>
      </w:r>
    </w:p>
    <w:p>
      <w:pPr>
        <w:pStyle w:val="ListParagraph"/>
        <w:numPr>
          <w:ilvl w:val="0"/>
          <w:numId w:val="1"/>
        </w:numPr>
        <w:spacing w:after="60"/>
      </w:pPr>
      <w:r>
        <w:t xml:space="preserve">No verifiable dedicated community coverage (ValuePickr or otherwise) was found - the 'engagement' claim in the source sheet is unconfirmed</w:t>
      </w:r>
    </w:p>
    <w:p>
      <w:pPr>
        <w:pStyle w:val="ListParagraph"/>
        <w:numPr>
          <w:ilvl w:val="0"/>
          <w:numId w:val="1"/>
        </w:numPr>
        <w:spacing w:after="60"/>
      </w:pPr>
      <w:r>
        <w:t xml:space="preserve">Technicals show no clear trend on either Weekly or Monthly timeframe - the market has not (yet) rewarded the recent fundamental improvement, which could mean opportunity or could mean the market sees something the recent quarters don't show</w:t>
      </w:r>
    </w:p>
    <w:p>
      <w:pPr>
        <w:pStyle w:val="ListParagraph"/>
        <w:numPr>
          <w:ilvl w:val="0"/>
          <w:numId w:val="1"/>
        </w:numPr>
        <w:spacing w:after="60"/>
      </w:pPr>
      <w:r>
        <w:t xml:space="preserve">Small, commodity-adjacent (steel) manufacturing business with limited pricing power and thin historical growth (3-year sales CAGR of just 2%)</w:t>
      </w:r>
    </w:p>
    <w:p>
      <w:pPr>
        <w:pStyle w:val="Heading1"/>
        <w:spacing w:after="120" w:before="280"/>
      </w:pPr>
      <w:r>
        <w:t xml:space="preserve">Market-Cap Tier</w:t>
      </w:r>
    </w:p>
    <w:p>
      <w:pPr>
        <w:spacing w:after="120"/>
      </w:pPr>
      <w:r>
        <w:rPr>
          <w:b/>
          <w:bCs/>
        </w:rPr>
        <w:t xml:space="preserve">Microcap (~Rs 90 Cr) - genuine size headroom, but this is the weakest combination of fundamental durability and technical confirmation seen so far in this batch.</w:t>
      </w:r>
    </w:p>
    <w:p>
      <w:pPr>
        <w:pStyle w:val="Heading1"/>
        <w:spacing w:after="120" w:before="280"/>
      </w:pPr>
      <w:r>
        <w:t xml:space="preserve">10x-in-2-3-Years Plausibility Verdict</w:t>
      </w:r>
    </w:p>
    <w:p>
      <w:pPr>
        <w:spacing w:after="120"/>
      </w:pPr>
      <w:r>
        <w:rPr>
          <w:b/>
          <w:bCs/>
          <w:sz w:val="24"/>
          <w:szCs w:val="24"/>
        </w:rPr>
        <w:t xml:space="preserve">Cheap and improving, but unconfirmed - lowest-conviction name in this batch pending more data</w:t>
      </w:r>
    </w:p>
    <w:p>
      <w:pPr>
        <w:pStyle w:val="ListParagraph"/>
        <w:numPr>
          <w:ilvl w:val="0"/>
          <w:numId w:val="1"/>
        </w:numPr>
        <w:spacing w:after="60"/>
      </w:pPr>
      <w:r>
        <w:t xml:space="preserve">Fundamental momentum: Weak-medium - recent quarters are genuinely improving, but sit on top of a 3-year profit decline and real margin/working-capital deterioration</w:t>
      </w:r>
    </w:p>
    <w:p>
      <w:pPr>
        <w:pStyle w:val="ListParagraph"/>
        <w:numPr>
          <w:ilvl w:val="0"/>
          <w:numId w:val="1"/>
        </w:numPr>
        <w:spacing w:after="60"/>
      </w:pPr>
      <w:r>
        <w:t xml:space="preserve">Valuation runway: Good - cheap on both P/E and P/B, offering a real margin of safety if the recent trend holds</w:t>
      </w:r>
    </w:p>
    <w:p>
      <w:pPr>
        <w:pStyle w:val="ListParagraph"/>
        <w:numPr>
          <w:ilvl w:val="0"/>
          <w:numId w:val="1"/>
        </w:numPr>
        <w:spacing w:after="60"/>
      </w:pPr>
      <w:r>
        <w:t xml:space="preserve">Market cap headroom: Good - genuine microcap</w:t>
      </w:r>
    </w:p>
    <w:p>
      <w:pPr>
        <w:pStyle w:val="ListParagraph"/>
        <w:numPr>
          <w:ilvl w:val="0"/>
          <w:numId w:val="1"/>
        </w:numPr>
        <w:spacing w:after="60"/>
      </w:pPr>
      <w:r>
        <w:t xml:space="preserve">Technical posture: Weak - no clear trend on either timeframe; the market hasn't confirmed the fundamental story yet</w:t>
      </w:r>
    </w:p>
    <w:p>
      <w:pPr>
        <w:pStyle w:val="ListParagraph"/>
        <w:numPr>
          <w:ilvl w:val="0"/>
          <w:numId w:val="1"/>
        </w:numPr>
        <w:spacing w:after="60"/>
      </w:pPr>
      <w:r>
        <w:t xml:space="preserve">Catalyst clarity: Weak - no specific named catalyst, just a general margin/growth recovery that needs more data points</w:t>
      </w:r>
    </w:p>
    <w:p>
      <w:pPr>
        <w:pStyle w:val="ListParagraph"/>
        <w:numPr>
          <w:ilvl w:val="0"/>
          <w:numId w:val="1"/>
        </w:numPr>
        <w:spacing w:after="60"/>
      </w:pPr>
      <w:r>
        <w:t xml:space="preserve">Quality/governance: Neutral - no red flags, stable promoter holding, genuine de-leveraging, but working-capital stress is a real quality concern</w:t>
      </w:r>
    </w:p>
    <w:p>
      <w:pPr>
        <w:pStyle w:val="ListParagraph"/>
        <w:numPr>
          <w:ilvl w:val="0"/>
          <w:numId w:val="1"/>
        </w:numPr>
        <w:spacing w:after="60"/>
      </w:pPr>
      <w:r>
        <w:t xml:space="preserve">Liquidity/float: Caution - small, likely thinly traded microcap</w:t>
      </w:r>
    </w:p>
    <w:p>
      <w:pPr>
        <w:pStyle w:val="ListParagraph"/>
        <w:numPr>
          <w:ilvl w:val="0"/>
          <w:numId w:val="1"/>
        </w:numPr>
        <w:spacing w:after="60"/>
      </w:pPr>
      <w:r>
        <w:t xml:space="preserve">Conviction/sentiment signal: Weak - the source sheet's engagement claim could not be independently verified to a specific thread or post</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2026-08-09T18:04:32.731Z</dcterms:created>
  <dcterms:modified xsi:type="dcterms:W3CDTF">2026-08-09T18:04:32.735Z</dcterms:modified>
</cp:coreProperties>
</file>

<file path=docProps/custom.xml><?xml version="1.0" encoding="utf-8"?>
<Properties xmlns="http://schemas.openxmlformats.org/officeDocument/2006/custom-properties" xmlns:vt="http://schemas.openxmlformats.org/officeDocument/2006/docPropsVTypes"/>
</file>