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JITF Infra Logistics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JITFINFRA | O.P. Jindal Group - urban/water infra, waste-to-energy, rail wagons - Rs 975 Cr, DISTRESS FLAGS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975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Net Result</w:t>
            </w:r>
          </w:p>
        </w:tc>
        <w:tc>
          <w:tcPr>
            <w:tcW w:type="dxa" w:w="5800"/>
          </w:tcPr>
          <w:p>
            <w:r>
              <w:t xml:space="preserve">Consolidated net LOSS Rs 9.93 Cr (narrowed from Rs 24.42 Cr loss in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+23.6% (Rs 2,854 Cr FY26 total income)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Non-current borrowings</w:t>
            </w:r>
          </w:p>
        </w:tc>
        <w:tc>
          <w:tcPr>
            <w:tcW w:type="dxa" w:w="5800"/>
          </w:tcPr>
          <w:p>
            <w:r>
              <w:t xml:space="preserve">Rs 3,359.5 Cr - over 3x the entire market 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</w:t>
            </w:r>
          </w:p>
        </w:tc>
        <w:tc>
          <w:tcPr>
            <w:tcW w:type="dxa" w:w="5800"/>
          </w:tcPr>
          <w:p>
            <w:r>
              <w:t xml:space="preserve">Negative Rs 513.28 Cr (consolidated, as of Mar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SERIOUS RED FLAG: negative consolidated net worth and non-current debt more than 3x the market cap. Statutory auditors issued 'going concern' warnings for two subsidiaries (JITF Water Infra Naya Raipur, JITF Urban Waste Management Bathinda). Revenue growth and a narrowing loss are real positives, but this is a financially distressed capital structure, not a clean growth story.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 given the fundamental distress flags take priority.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going-concern/negative-net-worth findings override the source sheet's historical '~7.8X' framing.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Auditor going-concern warnings on two subsidiaries is a material, disclosed risk - this is not a minor technical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(+23.6%) and narrowing losses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O.P. Jindal Group affiliation provides some backing/credibility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infra exposure (water, waste-to-energy, rail wagons) in growing sectors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consolidated net worth (-Rs 513 Cr) - a genuine balance-sheet distress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Non-current debt of Rs 3,359 Cr is over 3x the market cap - extreme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'going concern' warnings on two subsidiaries - a serious, disclosed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consolidated-loss-making despite revenue growth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975 Cr) - but capital structure distress makes size-based headroom irrelevant until the balance sheet is repaired.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- genuine financial distress signals (negative net worth, going-concern warnings, extreme leverage)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net worth and going-concern auditor warnings are disqualifying red flags regardless of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load relative to market cap is extreme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alone does not offset a distressed capital structure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2026-08-14T14:39:48.629Z</dcterms:created>
  <dcterms:modified xsi:type="dcterms:W3CDTF">2026-08-14T14:39:48.634Z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