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Kerala Ayurveda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530163 | Ayurveda products/services, ~Rs 194-213 Cr - SEVERE FINANCIAL DISTRESS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194-213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ROIC</w:t>
            </w:r>
          </w:p>
        </w:tc>
        <w:tc>
          <w:tcPr>
            <w:tcW w:type="dxa" w:w="5800"/>
          </w:tcPr>
          <w:p>
            <w:r>
              <w:t xml:space="preserve">-117.53% / -25.22% (severe distress)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EBIT-to-Interest Coverage</w:t>
            </w:r>
          </w:p>
        </w:tc>
        <w:tc>
          <w:tcPr>
            <w:tcW w:type="dxa" w:w="5800"/>
          </w:tcPr>
          <w:p>
            <w:r>
              <w:t xml:space="preserve">0.07x - essentially cannot cover interest from operating profit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Net Loss</w:t>
            </w:r>
          </w:p>
        </w:tc>
        <w:tc>
          <w:tcPr>
            <w:tcW w:type="dxa" w:w="5800"/>
          </w:tcPr>
          <w:p>
            <w:r>
              <w:t xml:space="preserve">Rs 16.56 Cr, widened 19% from FY25; loss per share Rs 12.44 (worse than FY25's Rs 11.60)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Debt-to-EBITDA / Debt-to-Equity</w:t>
            </w:r>
          </w:p>
        </w:tc>
        <w:tc>
          <w:tcPr>
            <w:tcW w:type="dxa" w:w="5800"/>
          </w:tcPr>
          <w:p>
            <w:r>
              <w:t xml:space="preserve">15.24x / 14.59x (extreme leverage)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Growth</w:t>
            </w:r>
          </w:p>
        </w:tc>
        <w:tc>
          <w:tcPr>
            <w:tcW w:type="dxa" w:w="5800"/>
          </w:tcPr>
          <w:p>
            <w:r>
              <w:t xml:space="preserve">+22% (Rs 145.4 Cr) - real, but not offsetting the deepening losses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Despite real revenue growth (+22% FY26), this is a company in genuine financial distress: negative ROE/ROIC, an interest-coverage ratio of just 0.07x (meaning operating profit covers only 7% of interest expense), extreme leverage (debt-to-EBITDA over 15x), and widening losses. MarketsMojo's own Q4 FY26 headline was 'Losses Deepen as Operational Crisis Intensifies.' Management targets breakeven by Jan 2027 with 50% FY27 revenue growth - an aggressive target given the current trajectory.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given the severity of the fundamental distress signals.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source sheet itself only listed this for 'study purposes,' not as a conviction pick - this research confirms that caution was well-placed.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P/B ratio is very rich (~19x book value) for a company in this financial condition - a disconnect worth noting.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revenue growth (+22%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articulated a specific breakeven target (Jan 2027)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Severe financial distress: negative ROE (-117.5%) and ROIC (-25.2%)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Interest coverage of just 0.07x - operating profit cannot service current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leverage (debt-to-EBITDA &gt;15x, debt-to-equity ~14.6x)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Losses widening, not narrowing, as of the latest full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financial media (MarketsMojo) explicitly describes an 'operational crisis'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194-213 Cr) - excluded on severe financial-distress grounds, not a size issue.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- severe financial distress (negative returns, near-zero interest coverage, extreme leverage)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Interest coverage of 0.07x means the company cannot service its debt from operations - a genuine going-concern-adjacent risk factor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Widening losses alongside revenue growth indicate a structurally broken cost base, not just a growth-investment phase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source sheet's own 'study purposes only' framing (not a conviction pick) was appropriately cautious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2026-08-14T15:57:42.290Z</dcterms:created>
  <dcterms:modified xsi:type="dcterms:W3CDTF">2026-08-14T15:57:42.295Z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