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Piccadily Agro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PICCADIL | EXCLUDED - already upper-midcap (~Rs 7,671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7,671 Cr (upper-midcap)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18-29.6% / 17.4-30.6% (strong, varies by period)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QoQ Growth</w:t>
            </w:r>
          </w:p>
        </w:tc>
        <w:tc>
          <w:tcPr>
            <w:tcW w:type="dxa" w:w="5800"/>
          </w:tcPr>
          <w:p>
            <w:r>
              <w:t xml:space="preserve">Sales +62%, profit +121%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Management projects +60-70% revenue growth on new facility ramp-up and brand focus (Indri)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explosive growth (management guiding +60-70% FY27 revenue) and strong returns on capital, driven by the successful premiumization of its Indri whisky brand. However, already an upper-midcap at ~Rs 7,671 Cr - a 10x from here would require reaching ~Rs 76,000+ Cr, unrealistic even for this pace of growth within 2-3 years.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strong recent quarterly momentum (QoQ profit +121%) suggests positive price action.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deeply covered in the source sheet beyond the pattern-observation mention.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explosive recent growth (QoQ profit +121%) with credible forward guidance (+60-70% FY27 revenue)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brand equity (Indri) in the premiumizing Indian whisky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7,671 Cr) - a 10x is not realistic at this scale even with strong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growth rates based on new facility ramp-ups can be difficult to sustain at the same pace once the base normalizes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7,671 Cr) - excluded on size grounds despite genuinely excellent growth momentum.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 despite genuinely excellent growth momentum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even with strong, credible growth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likely a strong multi-year compounder candidate outside the specific 10x-in-2-3-years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2026-08-14T17:04:36.486Z</dcterms:created>
  <dcterms:modified xsi:type="dcterms:W3CDTF">2026-08-14T17:04:36.491Z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