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Pricol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PRICOLLTD | EXCLUDED - already large-cap (~Rs 9,325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9,325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Demerger</w:t>
            </w:r>
          </w:p>
        </w:tc>
        <w:tc>
          <w:tcPr>
            <w:tcW w:type="dxa" w:w="5800"/>
          </w:tcPr>
          <w:p>
            <w:r>
              <w:t xml:space="preserve">Board approved (Jun 27, 2026) carve-out of Driver Info &amp; Connected Vehicle Solutions into 'Pricol Autotech' - 1:1 share entitlement to existing shareholders, pending NCLT/exchange/shareholder approvals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demerger is a real, verifiable, specific catalyst (creating two focused platforms), but Pricol is already a Rs 9,000+ Cr large-cap - a 10x within 2-3 years is not realistic at this scale even with a clean corporate-action catalyst.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grounds; source sheet notes momentum near all-time highs.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own framing (strong results, demerger catalyst, price momentum) is a genuine near-term positive setup, just not sized for a 10x screen.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Demerger scheme formally approved by the board, pending NCLT/shareholder/exchange sign-off - a real, disclosed corporate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Clean, specific demerger catalyst separating high-growth electronics/EV-related business from the 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EV-agnostic product positioning across multiple OEMs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price momentum near all-time highs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9,325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9,325 Cr) - excluded on size grounds despite a genuine near-term catalyst.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though the demerger catalyst is real and could be worth tracking outside this specific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demerger is a legitimate near-term catalyst, just not compatible with a 10x-in-2-3-years microcap framework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2026-08-14T15:38:23.073Z</dcterms:created>
  <dcterms:modified xsi:type="dcterms:W3CDTF">2026-08-14T15:38:23.078Z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