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Ramkrishna Forgings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RKFORGE | EXCLUDED - already large-cap (~Rs 13,500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13,500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(latest)</w:t>
            </w:r>
          </w:p>
        </w:tc>
        <w:tc>
          <w:tcPr>
            <w:tcW w:type="dxa" w:w="5800"/>
          </w:tcPr>
          <w:p>
            <w:r>
              <w:t xml:space="preserve">5.60% / 2.51% (weak, down sharply from historical levels)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 avg)</w:t>
            </w:r>
          </w:p>
        </w:tc>
        <w:tc>
          <w:tcPr>
            <w:tcW w:type="dxa" w:w="5800"/>
          </w:tcPr>
          <w:p>
            <w:r>
              <w:t xml:space="preserve">9.75%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FY25 Revenue Growth</w:t>
            </w:r>
          </w:p>
        </w:tc>
        <w:tc>
          <w:tcPr>
            <w:tcW w:type="dxa" w:w="5800"/>
          </w:tcPr>
          <w:p>
            <w:r>
              <w:t xml:space="preserve">2% - well below the 5yr CAGR of 27.1%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Despite being mentioned by three separate curators, the actual current numbers show real deterioration: latest ROCE/ROE have fallen sharply (5.6%/2.5%) and FY25 revenue growth slowed to just 2%, well below the historical 27.1% 5-year CAGR. This matches the source sheet's own 'recovery' framing - i.e., the company is trying to recover FROM a weak period, not currently compounding.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Multiple curators discuss this name, but the 'recovery narrative' and 'interesting concall' framing (rather than high-conviction language) suggests cautious, not enthusiastic, community sentiment - consistent with the weak current numbers.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2nd largest forging player with real export/Mexico exposure and a genuine historical growth track record (27.1% 5yr CAGR)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addressing balance sheet issues (debt reduction) per source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13,500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ROCE/ROE are weak (5.6%/2.5%), well below historical levels - this is presently a turnaround situation, not a compounder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13,500 Cr) - excluded on size grounds, compounded by currently weak returns.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 and currently in a weak-returns recovery phase, not a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ROCE/ROE weakness confirms this is mid-recovery, not mid-compounding, adding a second reason for caution beyond size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2026-08-14T15:41:40.257Z</dcterms:created>
  <dcterms:modified xsi:type="dcterms:W3CDTF">2026-08-14T15:41:40.263Z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