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Repco Home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REPCOHOME | Housing finance NBFC (South India-focused), ~Rs 2,301-2,559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2,301-2,559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11.8-15.8% (improving over the last 2 years, but historically modest)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5.43%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Trend</w:t>
            </w:r>
          </w:p>
        </w:tc>
        <w:tc>
          <w:tcPr>
            <w:tcW w:type="dxa" w:w="5800"/>
          </w:tcPr>
          <w:p>
            <w:r>
              <w:t xml:space="preserve">Annual net profits increasing for 3 consecutive years; MarketsMojo notes 'valuation shifts' amid market rally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housing-finance microcap with a real, improving ROE trend (rising over the last 2 years) and 3 consecutive years of profit growth, but historical 5-year sales growth has been weak (5.43%) - this looks more like a slow, steady turnaround than a high-growth story.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MarketsMojo notes 'valuation shifts' amid a broader market rally - a stock being repriced along with sector sentiment rather than showing an independent breakout.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deeply covered in the source sheet beyond the summit presentation mention.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Improving ROE trend over the last 2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consecutive years of rising net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smallcap size with theoretical headroom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historical 5-year sales growth (5.43%) - not a demonstrated high-growth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NBFC-HFC sector is capital-constrained and competitive (larger, better-funded peers)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catalyst identified beyond general improving trends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2,301-2,559 Cr) - genuine size headroom, but weak historical growth tempers conviction.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Slow, steady improvement rather than a high-growth setup - lower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and profit trends are genuinely improving, a real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historical growth (5.43% 5yr) is the key limiting factor for a 10x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catalyst was identified to accelerate this beyond a steady, gradual improvement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2026-08-14T16:53:07.313Z</dcterms:created>
  <dcterms:modified xsi:type="dcterms:W3CDTF">2026-08-14T16:53:07.317Z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