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Samhi Hotels Ltd</w:t>
      </w:r>
    </w:p>
    <w:p>
      <w:pPr>
        <w:pBdr>
          <w:bottom w:val="single" w:color="CCCCCC" w:sz="6" w:space="8"/>
        </w:pBdr>
        <w:spacing w:after="200"/>
      </w:pPr>
      <w:r>
        <w:rPr>
          <w:i/>
          <w:iCs/>
          <w:color w:val="666666"/>
          <w:sz w:val="22"/>
          <w:szCs w:val="22"/>
        </w:rPr>
        <w:t xml:space="preserve">NSE: SAMHI | Hotel ownership/asset management (Marriott/Hyatt/Accor brands), ~Rs 3,700-3,800 Cr - USER-HELD, added by request</w:t>
      </w:r>
    </w:p>
    <w:p>
      <w:pPr>
        <w:pStyle w:val="Heading1"/>
        <w:spacing w:after="120" w:before="280"/>
      </w:pPr>
      <w:r>
        <w:t xml:space="preserve">Business Overview</w:t>
      </w:r>
    </w:p>
    <w:p>
      <w:pPr>
        <w:spacing w:after="120"/>
      </w:pPr>
      <w:r/>
    </w:p>
    <w:p>
      <w:pPr>
        <w:pStyle w:val="Heading1"/>
        <w:spacing w:after="120" w:before="280"/>
      </w:pPr>
      <w:r>
        <w:t xml:space="preserve">Source / Conviction Notes (from original sheet)</w:t>
      </w:r>
    </w:p>
    <w:p>
      <w:pPr>
        <w:spacing w:after="120"/>
      </w:pPr>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CMP / Market Cap</w:t>
            </w:r>
          </w:p>
        </w:tc>
        <w:tc>
          <w:tcPr>
            <w:tcW w:type="dxa" w:w="5800"/>
          </w:tcPr>
          <w:p>
            <w:r>
              <w:t xml:space="preserve">Rs 163-165 / Rs 3,629-3,815 Cr</w:t>
            </w:r>
          </w:p>
        </w:tc>
      </w:tr>
      <w:tr>
        <w:tc>
          <w:tcPr>
            <w:tcW w:type="dxa" w:w="3200"/>
            <w:shd w:fill="F2F2F2" w:val="clear"/>
          </w:tcPr>
          <w:p>
            <w:r>
              <w:rPr>
                <w:b/>
                <w:bCs/>
              </w:rPr>
              <w:t xml:space="preserve">52-week range</w:t>
            </w:r>
          </w:p>
        </w:tc>
        <w:tc>
          <w:tcPr>
            <w:tcW w:type="dxa" w:w="5800"/>
          </w:tcPr>
          <w:p>
            <w:r>
              <w:t xml:space="preserve">Rs 127 - Rs 228</w:t>
            </w:r>
          </w:p>
        </w:tc>
      </w:tr>
      <w:tr>
        <w:tc>
          <w:tcPr>
            <w:tcW w:type="dxa" w:w="3200"/>
            <w:shd w:fill="F2F2F2" w:val="clear"/>
          </w:tcPr>
          <w:p>
            <w:r>
              <w:rPr>
                <w:b/>
                <w:bCs/>
              </w:rPr>
              <w:t xml:space="preserve">P/E / P/B</w:t>
            </w:r>
          </w:p>
        </w:tc>
        <w:tc>
          <w:tcPr>
            <w:tcW w:type="dxa" w:w="5800"/>
          </w:tcPr>
          <w:p>
            <w:r>
              <w:t xml:space="preserve">8.6x / 1.66x (P/E flattered by a one-time gain in Q3 FY26 - treat headline EPS with caution)</w:t>
            </w:r>
          </w:p>
        </w:tc>
      </w:tr>
      <w:tr>
        <w:tc>
          <w:tcPr>
            <w:tcW w:type="dxa" w:w="3200"/>
            <w:shd w:fill="F2F2F2" w:val="clear"/>
          </w:tcPr>
          <w:p>
            <w:r>
              <w:rPr>
                <w:b/>
                <w:bCs/>
              </w:rPr>
              <w:t xml:space="preserve">FY26 Revenue / EBITDA</w:t>
            </w:r>
          </w:p>
        </w:tc>
        <w:tc>
          <w:tcPr>
            <w:tcW w:type="dxa" w:w="5800"/>
          </w:tcPr>
          <w:p>
            <w:r>
              <w:t xml:space="preserve">Rs 1,279 Cr (+12.3% YoY) / Rs 463 Cr (36.2% margin)</w:t>
            </w:r>
          </w:p>
        </w:tc>
      </w:tr>
      <w:tr>
        <w:tc>
          <w:tcPr>
            <w:tcW w:type="dxa" w:w="3200"/>
            <w:shd w:fill="F2F2F2" w:val="clear"/>
          </w:tcPr>
          <w:p>
            <w:r>
              <w:rPr>
                <w:b/>
                <w:bCs/>
              </w:rPr>
              <w:t xml:space="preserve">Net Debt / EBITDA</w:t>
            </w:r>
          </w:p>
        </w:tc>
        <w:tc>
          <w:tcPr>
            <w:tcW w:type="dxa" w:w="5800"/>
          </w:tcPr>
          <w:p>
            <w:r>
              <w:t xml:space="preserve">3.2x reported, 2.4x adjusted - down sharply from &gt;6x pre-IPO</w:t>
            </w:r>
          </w:p>
        </w:tc>
      </w:tr>
      <w:tr>
        <w:tc>
          <w:tcPr>
            <w:tcW w:type="dxa" w:w="3200"/>
            <w:shd w:fill="F2F2F2" w:val="clear"/>
          </w:tcPr>
          <w:p>
            <w:r>
              <w:rPr>
                <w:b/>
                <w:bCs/>
              </w:rPr>
              <w:t xml:space="preserve">Total borrowings</w:t>
            </w:r>
          </w:p>
        </w:tc>
        <w:tc>
          <w:tcPr>
            <w:tcW w:type="dxa" w:w="5800"/>
          </w:tcPr>
          <w:p>
            <w:r>
              <w:t xml:space="preserve">Rs 1,854 Cr (Mar 2026), down from Rs 2,744 Cr (Mar 2023); pre-IPO debt was ~Rs 2,940 Cr</w:t>
            </w:r>
          </w:p>
        </w:tc>
      </w:tr>
      <w:tr>
        <w:tc>
          <w:tcPr>
            <w:tcW w:type="dxa" w:w="3200"/>
            <w:shd w:fill="F2F2F2" w:val="clear"/>
          </w:tcPr>
          <w:p>
            <w:r>
              <w:rPr>
                <w:b/>
                <w:bCs/>
              </w:rPr>
              <w:t xml:space="preserve">Interest cost</w:t>
            </w:r>
          </w:p>
        </w:tc>
        <w:tc>
          <w:tcPr>
            <w:tcW w:type="dxa" w:w="5800"/>
          </w:tcPr>
          <w:p>
            <w:r>
              <w:t xml:space="preserve">Down from Rs 522 Cr/yr (FY23) to ~Rs 170-200 Cr/yr (FY26), rate ~7.8%</w:t>
            </w:r>
          </w:p>
        </w:tc>
      </w:tr>
      <w:tr>
        <w:tc>
          <w:tcPr>
            <w:tcW w:type="dxa" w:w="3200"/>
            <w:shd w:fill="F2F2F2" w:val="clear"/>
          </w:tcPr>
          <w:p>
            <w:r>
              <w:rPr>
                <w:b/>
                <w:bCs/>
              </w:rPr>
              <w:t xml:space="preserve">ROE</w:t>
            </w:r>
          </w:p>
        </w:tc>
        <w:tc>
          <w:tcPr>
            <w:tcW w:type="dxa" w:w="5800"/>
          </w:tcPr>
          <w:p>
            <w:r>
              <w:t xml:space="preserve">24.5% (last year, partly boosted by one-offs); 12.2% (3yr average)</w:t>
            </w:r>
          </w:p>
        </w:tc>
      </w:tr>
      <w:tr>
        <w:tc>
          <w:tcPr>
            <w:tcW w:type="dxa" w:w="3200"/>
            <w:shd w:fill="F2F2F2" w:val="clear"/>
          </w:tcPr>
          <w:p>
            <w:r>
              <w:rPr>
                <w:b/>
                <w:bCs/>
              </w:rPr>
              <w:t xml:space="preserve">RevPAR / Occupancy</w:t>
            </w:r>
          </w:p>
        </w:tc>
        <w:tc>
          <w:tcPr>
            <w:tcW w:type="dxa" w:w="5800"/>
          </w:tcPr>
          <w:p>
            <w:r>
              <w:t xml:space="preserve">RevPAR ~Rs 5,219, +10% YoY; occupancy ~79.3%, near-full on 36% of days</w:t>
            </w:r>
          </w:p>
        </w:tc>
      </w:tr>
      <w:tr>
        <w:tc>
          <w:tcPr>
            <w:tcW w:type="dxa" w:w="3200"/>
            <w:shd w:fill="F2F2F2" w:val="clear"/>
          </w:tcPr>
          <w:p>
            <w:r>
              <w:rPr>
                <w:b/>
                <w:bCs/>
              </w:rPr>
              <w:t xml:space="preserve">Shareholding shift</w:t>
            </w:r>
          </w:p>
        </w:tc>
        <w:tc>
          <w:tcPr>
            <w:tcW w:type="dxa" w:w="5800"/>
          </w:tcPr>
          <w:p>
            <w:r>
              <w:t xml:space="preserve">FII holding fell from 69.5% (Mar 2024) to ~44.6% now - ~Rs 900 Cr of PE/FII selling (Goldman Sachs exited, GTI wound down, ACIC Mauritius still ~15% and paring down) absorbed mostly by retail (14% to 38%)</w:t>
            </w:r>
          </w:p>
        </w:tc>
      </w:tr>
    </w:tbl>
    <w:p>
      <w:pPr>
        <w:spacing w:after="100"/>
      </w:pPr>
    </w:p>
    <w:p>
      <w:pPr>
        <w:spacing w:after="120"/>
      </w:pPr>
      <w:r>
        <w:t xml:space="preserve">The 2-year price stagnation is best explained as a technical/supply overhang (large, sustained pre-IPO PE selling) layered on top of a genuinely improving operating and balance-sheet story, not fundamental deterioration. Debt has been cut by more than a third since IPO, interest cost is down ~65%, RevPAR and occupancy are both healthy, and EBITDA has grown fast enough that the EV/EBITDA multiple has actually compressed even as EBITDA itself rose - meaning the stock has gotten statistically cheaper while standing still in price.</w:t>
      </w:r>
    </w:p>
    <w:p>
      <w:pPr>
        <w:pStyle w:val="Heading1"/>
        <w:spacing w:after="120" w:before="280"/>
      </w:pPr>
      <w:r>
        <w:t xml:space="preserve">Technical Read (Weekly / Monthly)</w:t>
      </w:r>
    </w:p>
    <w:p>
      <w:pPr>
        <w:spacing w:after="120"/>
      </w:pPr>
      <w:r>
        <w:t xml:space="preserve">Rangebound for ~2 years (Rs 127-228 52-week band), consistent with persistent institutional supply absorbing any rally attempts rather than a fundamentals-driven downtrend.</w:t>
      </w:r>
    </w:p>
    <w:p>
      <w:pPr>
        <w:pStyle w:val="Heading1"/>
        <w:spacing w:after="120" w:before="280"/>
      </w:pPr>
      <w:r>
        <w:t xml:space="preserve">ValuePickr + X Sentiment</w:t>
      </w:r>
    </w:p>
    <w:p>
      <w:pPr>
        <w:spacing w:after="120"/>
      </w:pPr>
      <w:r>
        <w:t xml:space="preserve">Active, detailed ValuePickr thread ('Samhi Hotels - Turnaround with Tailwinds', 20+ pages). Bull case: supply-constrained Indian hotel market, capital-efficient distressed-asset acquisition model, experienced management, clear deleveraging trajectory, margin-expansion roadmap (32% to 40%+ EBITDA margin target as the ACIC portfolio of 962 rooms reaches full operation), explicit valuation-arbitrage argument (traded at ~22x EV/EBITDA in 2024 vs Chalet Hotels' 35x despite faster EBITDA growth - the gap persists today at ~9-11x vs a ~16x peer average). Bear case raised by the community: extreme sector cyclicality amplified by leverage, historically thin/negative net margins with debt servicing consuming earnings, a flagged concern that declining depreciation rates versus real maintenance capex could be masking underlying margin softness, and that continued investment in new properties may keep competing with debt paydown rather than free cash flow cleanly delevering the balance sheet.</w:t>
      </w:r>
    </w:p>
    <w:p>
      <w:pPr>
        <w:pStyle w:val="Heading1"/>
        <w:spacing w:after="120" w:before="280"/>
      </w:pPr>
      <w:r>
        <w:t xml:space="preserve">BSE Corporate Actions / Red Flags</w:t>
      </w:r>
    </w:p>
    <w:p>
      <w:pPr>
        <w:spacing w:after="120"/>
      </w:pPr>
      <w:r>
        <w:t xml:space="preserve">No regulatory red flags found. The FII-to-retail ownership rotation (Mar 2024 to now) is a disclosed, large, and unusual shift worth monitoring for completion - ACIC Mauritius still holds ~15% and was 'paring down steadily' as of late 2025, implying some further overhang may remain.</w:t>
      </w:r>
    </w:p>
    <w:p>
      <w:pPr>
        <w:pStyle w:val="Heading1"/>
        <w:spacing w:after="120" w:before="280"/>
      </w:pPr>
      <w:r>
        <w:t xml:space="preserve">Bull Case</w:t>
      </w:r>
    </w:p>
    <w:p>
      <w:pPr>
        <w:pStyle w:val="ListParagraph"/>
        <w:numPr>
          <w:ilvl w:val="0"/>
          <w:numId w:val="1"/>
        </w:numPr>
        <w:spacing w:after="60"/>
      </w:pPr>
      <w:r>
        <w:t xml:space="preserve">Balance sheet has genuinely de-risked: net debt/EBITDA down from &gt;6x to ~2.4-3.2x, with management targeting 2.5x by FY28</w:t>
      </w:r>
    </w:p>
    <w:p>
      <w:pPr>
        <w:pStyle w:val="ListParagraph"/>
        <w:numPr>
          <w:ilvl w:val="0"/>
          <w:numId w:val="1"/>
        </w:numPr>
        <w:spacing w:after="60"/>
      </w:pPr>
      <w:r>
        <w:t xml:space="preserve">Trades at roughly half the peer-average EV/EBITDA (~9-11x vs ~16x for Chalet/Lemon Tree/EIH/Juniper) despite comparable or better EBITDA growth (~35% FY23-26 CAGR vs Chalet's ~24%)</w:t>
      </w:r>
    </w:p>
    <w:p>
      <w:pPr>
        <w:pStyle w:val="ListParagraph"/>
        <w:numPr>
          <w:ilvl w:val="0"/>
          <w:numId w:val="1"/>
        </w:numPr>
        <w:spacing w:after="60"/>
      </w:pPr>
      <w:r>
        <w:t xml:space="preserve">Real operating momentum: RevPAR +10% YoY, ~79% occupancy, margin-expansion roadmap toward 40%+ EBITDA margin</w:t>
      </w:r>
    </w:p>
    <w:p>
      <w:pPr>
        <w:pStyle w:val="ListParagraph"/>
        <w:numPr>
          <w:ilvl w:val="0"/>
          <w:numId w:val="1"/>
        </w:numPr>
        <w:spacing w:after="60"/>
      </w:pPr>
      <w:r>
        <w:t xml:space="preserve">Sell-side already positioned bullishly: Antique (Buy, Rs 260 target, +41%) and YES Securities (Buy, +40%) on 12-month horizons</w:t>
      </w:r>
    </w:p>
    <w:p>
      <w:pPr>
        <w:pStyle w:val="ListParagraph"/>
        <w:numPr>
          <w:ilvl w:val="0"/>
          <w:numId w:val="1"/>
        </w:numPr>
        <w:spacing w:after="60"/>
      </w:pPr>
      <w:r>
        <w:t xml:space="preserve">Bulk of the historical PE-seller overhang (Goldman Sachs, GTI) already appears to have cleared</w:t>
      </w:r>
    </w:p>
    <w:p>
      <w:pPr>
        <w:pStyle w:val="Heading1"/>
        <w:spacing w:after="120" w:before="280"/>
      </w:pPr>
      <w:r>
        <w:t xml:space="preserve">Bear Case / Key Risks</w:t>
      </w:r>
    </w:p>
    <w:p>
      <w:pPr>
        <w:pStyle w:val="ListParagraph"/>
        <w:numPr>
          <w:ilvl w:val="0"/>
          <w:numId w:val="1"/>
        </w:numPr>
        <w:spacing w:after="60"/>
      </w:pPr>
      <w:r>
        <w:t xml:space="preserve">Still meaningfully levered (~2.4-3.2x net debt/EBITDA) - a genuine amplifier of downside if the hotel cycle turns</w:t>
      </w:r>
    </w:p>
    <w:p>
      <w:pPr>
        <w:pStyle w:val="ListParagraph"/>
        <w:numPr>
          <w:ilvl w:val="0"/>
          <w:numId w:val="1"/>
        </w:numPr>
        <w:spacing w:after="60"/>
      </w:pPr>
      <w:r>
        <w:t xml:space="preserve">Reported profit growth includes one-time gains (Q3 FY26 PAT spike) - headline P/E and ROE overstate clean, recurring earnings power</w:t>
      </w:r>
    </w:p>
    <w:p>
      <w:pPr>
        <w:pStyle w:val="ListParagraph"/>
        <w:numPr>
          <w:ilvl w:val="0"/>
          <w:numId w:val="1"/>
        </w:numPr>
        <w:spacing w:after="60"/>
      </w:pPr>
      <w:r>
        <w:t xml:space="preserve">ValuePickr's own bear case: continued capex on new properties may keep competing with debt paydown, delaying the clean deleveraging the market wants to see</w:t>
      </w:r>
    </w:p>
    <w:p>
      <w:pPr>
        <w:pStyle w:val="ListParagraph"/>
        <w:numPr>
          <w:ilvl w:val="0"/>
          <w:numId w:val="1"/>
        </w:numPr>
        <w:spacing w:after="60"/>
      </w:pPr>
      <w:r>
        <w:t xml:space="preserve">ACIC Mauritius still holds ~15% and was still reducing as of late 2025 - some further supply overhang may remain</w:t>
      </w:r>
    </w:p>
    <w:p>
      <w:pPr>
        <w:pStyle w:val="ListParagraph"/>
        <w:numPr>
          <w:ilvl w:val="0"/>
          <w:numId w:val="1"/>
        </w:numPr>
        <w:spacing w:after="60"/>
      </w:pPr>
      <w:r>
        <w:t xml:space="preserve">Sector is genuinely cyclical (corporate travel, foreign tourist arrivals, office-space absorption) - a demand shock would hit hardest given the leverage</w:t>
      </w:r>
    </w:p>
    <w:p>
      <w:pPr>
        <w:pStyle w:val="Heading1"/>
        <w:spacing w:after="120" w:before="280"/>
      </w:pPr>
      <w:r>
        <w:t xml:space="preserve">Market-Cap Tier</w:t>
      </w:r>
    </w:p>
    <w:p>
      <w:pPr>
        <w:spacing w:after="120"/>
      </w:pPr>
      <w:r>
        <w:rPr>
          <w:b/>
          <w:bCs/>
        </w:rPr>
        <w:t xml:space="preserve">Midcap (~Rs 3,700-3,800 Cr) - does not fit this project's microcap 10x-in-2-3-years screen; included as a separate, user-requested holding analysis rather than a ranked candidate.</w:t>
      </w:r>
    </w:p>
    <w:p>
      <w:pPr>
        <w:pStyle w:val="Heading1"/>
        <w:spacing w:after="120" w:before="280"/>
      </w:pPr>
      <w:r>
        <w:t xml:space="preserve">10x-in-2-3-Years Plausibility Verdict</w:t>
      </w:r>
    </w:p>
    <w:p>
      <w:pPr>
        <w:spacing w:after="120"/>
      </w:pPr>
      <w:r>
        <w:rPr>
          <w:b/>
          <w:bCs/>
          <w:sz w:val="24"/>
          <w:szCs w:val="24"/>
        </w:rPr>
        <w:t xml:space="preserve">Not a 10x candidate by this project's framework, but a credible re-rating/deleveraging story - scenario-modeled at roughly +115% (average case) to +210% (best case) over 3 years</w:t>
      </w:r>
    </w:p>
    <w:p>
      <w:pPr>
        <w:pStyle w:val="ListParagraph"/>
        <w:numPr>
          <w:ilvl w:val="0"/>
          <w:numId w:val="1"/>
        </w:numPr>
        <w:spacing w:after="60"/>
      </w:pPr>
      <w:r>
        <w:t xml:space="preserve">Average case (EBITDA +15%/yr, partial re-rating to 13x EV/EBITDA, modest debt paydown to ~Rs 1,200 Cr net debt): implies ~Rs 350/share, about +115% from CMP</w:t>
      </w:r>
    </w:p>
    <w:p>
      <w:pPr>
        <w:pStyle w:val="ListParagraph"/>
        <w:numPr>
          <w:ilvl w:val="0"/>
          <w:numId w:val="1"/>
        </w:numPr>
        <w:spacing w:after="60"/>
      </w:pPr>
      <w:r>
        <w:t xml:space="preserve">Best case (EBITDA +19%/yr, full re-rating to the ~16x peer average, net debt down to ~Rs 900 Cr): implies ~Rs 510/share, about +210% from CMP</w:t>
      </w:r>
    </w:p>
    <w:p>
      <w:pPr>
        <w:pStyle w:val="ListParagraph"/>
        <w:numPr>
          <w:ilvl w:val="0"/>
          <w:numId w:val="1"/>
        </w:numPr>
        <w:spacing w:after="60"/>
      </w:pPr>
      <w:r>
        <w:t xml:space="preserve">Both scenarios are a 'deleveraging equity kicker' story - EBITDA growth, multiple re-rating, and debt paydown all compound into the equity simultaneously, which is exactly why the same mechanics would compress returns sharply if EBITDA growth stalls or the remaining PE overhang doesn't clear</w:t>
      </w:r>
    </w:p>
    <w:p>
      <w:pPr>
        <w:pStyle w:val="ListParagraph"/>
        <w:numPr>
          <w:ilvl w:val="0"/>
          <w:numId w:val="1"/>
        </w:numPr>
        <w:spacing w:after="60"/>
      </w:pPr>
      <w:r>
        <w:t xml:space="preserve">Not scored against this project's microcap scoring framework (already midcap-sized) - presented as a standalone follow-up analysis at the user's request, not as part of the ranked screen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2026-08-15T07:05:14.013Z</dcterms:created>
  <dcterms:modified xsi:type="dcterms:W3CDTF">2026-08-15T07:05:14.018Z</dcterms:modified>
</cp:coreProperties>
</file>

<file path=docProps/custom.xml><?xml version="1.0" encoding="utf-8"?>
<Properties xmlns="http://schemas.openxmlformats.org/officeDocument/2006/custom-properties" xmlns:vt="http://schemas.openxmlformats.org/officeDocument/2006/docPropsVTypes"/>
</file>