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Samkrg Pistons &amp; Rings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BSE: 520075 | Microcap auto-ancillary (pistons/rings), ~Rs 118 Cr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118 Cr (microcap)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(3yr avg)</w:t>
            </w:r>
          </w:p>
        </w:tc>
        <w:tc>
          <w:tcPr>
            <w:tcW w:type="dxa" w:w="5800"/>
          </w:tcPr>
          <w:p>
            <w:r>
              <w:t xml:space="preserve">4.91%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Sales Growth (5yr)</w:t>
            </w:r>
          </w:p>
        </w:tc>
        <w:tc>
          <w:tcPr>
            <w:tcW w:type="dxa" w:w="5800"/>
          </w:tcPr>
          <w:p>
            <w:r>
              <w:t xml:space="preserve">5.2% (poor)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Reduced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payout (3yr)</w:t>
            </w:r>
          </w:p>
        </w:tc>
        <w:tc>
          <w:tcPr>
            <w:tcW w:type="dxa" w:w="5800"/>
          </w:tcPr>
          <w:p>
            <w:r>
              <w:t xml:space="preserve">9.6%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Weak growth and returns; debt reduction is the one clear positive.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Down-trending: fresh 52-week low in Mar 2026, -20.7% over 6 months, MarketsMojo rates it Sell.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 ValuePickr thread found; external commentary (MarketsMojo) is bearish, not bullish.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 surfaced in available search results.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microcap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Some debt reduction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Long-established OEM component supplier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5yr growth (5.2%) and ROE (4.9%)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downtrend, fresh 52-week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 rating is Sell, not a bullish signal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Microcap (~Rs 118 Cr) - size headroom exists but nothing else currently supports a candidacy.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Weak fundamentals and active downtrend - not a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and returns are both poor by any standard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trend is actively negative, not basing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community or analyst signal supports a turnaround thesis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2026-08-13T14:30:20.873Z</dcterms:created>
  <dcterms:modified xsi:type="dcterms:W3CDTF">2026-08-13T14:30:20.874Z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