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Schloss Bangalore Ltd (The Leela)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NSE: THELEELA | EXCLUDED - already large-cap (~Rs 16,970 Cr)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Source / Conviction Notes (from original sheet)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16,970 Cr (large-cap)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</w:t>
            </w:r>
          </w:p>
        </w:tc>
        <w:tc>
          <w:tcPr>
            <w:tcW w:type="dxa" w:w="5800"/>
          </w:tcPr>
          <w:p>
            <w:r>
              <w:t xml:space="preserve">Brookfield (one of the world's largest alternative asset managers)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Portfolio</w:t>
            </w:r>
          </w:p>
        </w:tc>
        <w:tc>
          <w:tcPr>
            <w:tcW w:type="dxa" w:w="5800"/>
          </w:tcPr>
          <w:p>
            <w:r>
              <w:t xml:space="preserve">14 operational hotels + additional managed properties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A genuine luxury/scarcity-value hospitality asset with strong institutional (Brookfield) backing, but already a Rs 17,000 Cr large-cap at listing - never fit a microcap/midcap 10x framework.</w:t>
      </w:r>
    </w:p>
    <w:p>
      <w:pPr>
        <w:pStyle w:val="Heading1"/>
        <w:spacing w:after="120" w:before="280"/>
      </w:pPr>
      <w:r>
        <w:t xml:space="preserve">Technical Read (Weekly / Monthly)</w:t>
      </w:r>
    </w:p>
    <w:p>
      <w:pPr>
        <w:spacing w:after="120"/>
      </w:pPr>
      <w:r>
        <w:t xml:space="preserve">Not researched - excluded on size grounds before the technical step.</w:t>
      </w:r>
    </w:p>
    <w:p>
      <w:pPr>
        <w:pStyle w:val="Heading1"/>
        <w:spacing w:after="120" w:before="280"/>
      </w:pPr>
      <w:r>
        <w:t xml:space="preserve">ValuePickr + X Sentiment</w:t>
      </w:r>
    </w:p>
    <w:p>
      <w:pPr>
        <w:spacing w:after="120"/>
      </w:pPr>
      <w:r>
        <w:t xml:space="preserve">Source sheet's positive framing (brilliant results, high ADR, scarcity positioning) is credible for a hospitality-recovery/premiumization thesis, just not sized for this specific screen.</w:t>
      </w:r>
    </w:p>
    <w:p>
      <w:pPr>
        <w:pStyle w:val="Heading1"/>
        <w:spacing w:after="120" w:before="280"/>
      </w:pPr>
      <w:r>
        <w:t xml:space="preserve">BSE Corporate Actions / Red Flags</w:t>
      </w:r>
    </w:p>
    <w:p>
      <w:pPr>
        <w:spacing w:after="120"/>
      </w:pPr>
      <w:r>
        <w:t xml:space="preserve">Not researched in depth given the size-based exclusion.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Scarcity-value luxury hospitality brand with strong institutional (Brookfield) backing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High ADR and premiumization tailwind in Indian hospitality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Already large-cap (Rs 16,970 Cr) - structurally excluded from a 10x-in-2-3-years microcap thesis</w:t>
      </w:r>
    </w:p>
    <w:p>
      <w:pPr>
        <w:pStyle w:val="Heading1"/>
        <w:spacing w:after="120" w:before="280"/>
      </w:pPr>
      <w:r>
        <w:t xml:space="preserve">Market-Cap Tier</w:t>
      </w:r>
    </w:p>
    <w:p>
      <w:pPr>
        <w:spacing w:after="120"/>
      </w:pPr>
      <w:r>
        <w:rPr>
          <w:b/>
          <w:bCs/>
        </w:rPr>
        <w:t xml:space="preserve">Large-cap (~Rs 16,970 Cr) - excluded on size grounds alone.</w:t>
      </w:r>
    </w:p>
    <w:p>
      <w:pPr>
        <w:pStyle w:val="Heading1"/>
        <w:spacing w:after="120" w:before="280"/>
      </w:pPr>
      <w:r>
        <w:t xml:space="preserve">10x-in-2-3-Years Plausibility 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EXCLUDED - large-cap, not a 10x candidate on market-cap grounds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Market cap headroom fails decisively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 business quality (scarcity luxury asset, strong sponsor) doesn't change the size constraint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2026-08-14T15:40:28.150Z</dcterms:created>
  <dcterms:modified xsi:type="dcterms:W3CDTF">2026-08-14T15:40:28.156Z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