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Shilpa Medicare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SHILPAMED | EXCLUDED - already large (~Rs 15,743 Cr), weak returns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15,743 Cr (large by absolute size, though SEBI's rank-based classification labels it 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7.7-10.7% / 4.2-9.4%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11.4% (below-average)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Despite the 'very highly recommended' framing in the source sheet, the actual fundamentals are weak: ROE has been as low as 4-9% across recent periods, and 5-year sales growth (11.4%) is below what would support a re-rating case. At ~Rs 15,743 Cr, the company is also already too large in absolute terms for a genuine 10x-in-2-3-years outcome, regardless of SEBI's rank-based 'smallcap' label.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simplywall.st coverage referenced 'stock has shown weakness.'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source sheet's 'very highly recommended' note is not corroborated by the underlying fundamentals found in this research - a case where the qualitative endorsement and the numbers diverge.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diversified pharma/API platform with a presentation slot at a respected investor summit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(4-9% across recent periods) despite the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Below-average 5-year sales growth (11.4%)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too large in absolute market-cap terms (Rs 15,743 Cr) for a 10x-in-2-3-years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source sheet's enthusiasm isn't matched by the fundamentals independently found here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 by absolute size (~Rs 15,743 Cr) despite a rank-based 'smallcap' SEBI label - excluded on both size and weak-fundamentals grounds.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size and weak returns both argue against this despite the source's strong endorsement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in absolute terms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ROE/growth numbers independently found here don't support the 'very highly recommended' framing without more specific justification than was available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2026-08-14T15:55:28.105Z</dcterms:created>
  <dcterms:modified xsi:type="dcterms:W3CDTF">2026-08-14T15:55:28.108Z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