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Shivalik Bimetal Controls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SBCL | EXCLUDED - already upper-midcap (~Rs 5,995 Cr), at all-time high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5,995 Cr (upper-midcap)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26.8% / 21.8%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56.2x (rich)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Growth</w:t>
            </w:r>
          </w:p>
        </w:tc>
        <w:tc>
          <w:tcPr>
            <w:tcW w:type="dxa" w:w="5800"/>
          </w:tcPr>
          <w:p>
            <w:r>
              <w:t xml:space="preserve">Revenue +12.3% (Rs 570.9 Cr), PAT +24.8% (Rs 95.8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Technical</w:t>
            </w:r>
          </w:p>
        </w:tc>
        <w:tc>
          <w:tcPr>
            <w:tcW w:type="dxa" w:w="5800"/>
          </w:tcPr>
          <w:p>
            <w:r>
              <w:t xml:space="preserve">Hit an all-time high of Rs 796.05 on Jul 3, 2026, per MarketsMojo, 'momentum building across timeframes'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unique, fully-integrated niche manufacturer with excellent capital efficiency (ROCE 26.8%, ROE 21.8%) and real double-digit growth, currently at an all-time high with confirmed multi-timeframe momentum. Already an upper-midcap at ~Rs 6,000 Cr though, and the P/E (56.2x) already reflects significant optimism.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strong, current momentum - all-time high with 'momentum building across timeframes' per independent MarketsMojo coverage.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 flagged this for a 'separate deeper session' at the summit - suggesting genuine analyst/community interest beyond a passing mention.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Unique, fully-integrated niche manufacturing capability with real barriers to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capital efficiency (ROCE 26.8%, ROE 21.8%) and real growth (+12.3% revenue, +24.8% profit)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current momentum (all-time high, multi-timeframe strength)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5,995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(P/E 56.2x) already prices in significant optimism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5,995 Cr) - excluded on size grounds despite genuinely strong quality and momentum.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 despite genuinely excellent business quality and current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despite the business's real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already reflects much of the growth story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2026-08-14T16:50:10.136Z</dcterms:created>
  <dcterms:modified xsi:type="dcterms:W3CDTF">2026-08-14T16:50:10.141Z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