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Tatva Chintan Pharma Chem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TATVA | Specialty chemicals (SDA, phase-transfer catalysts, structure-directing agents), ~Rs 3,160-3,989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3,160-3,989 Cr (smallcap, +62.1%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7.14% / 5.53% (historically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</w:t>
            </w:r>
          </w:p>
        </w:tc>
        <w:tc>
          <w:tcPr>
            <w:tcW w:type="dxa" w:w="5800"/>
          </w:tcPr>
          <w:p>
            <w:r>
              <w:t xml:space="preserve">+43% YoY - a real recent acceleration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Forward Estimates</w:t>
            </w:r>
          </w:p>
        </w:tc>
        <w:tc>
          <w:tcPr>
            <w:tcW w:type="dxa" w:w="5800"/>
          </w:tcPr>
          <w:p>
            <w:r>
              <w:t xml:space="preserve">Earnings forecast +47.5%/yr, revenue +21.7%/yr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clear earnings-reversal setup: historically weak 5-year growth (11%) and returns (ROE 5.5%) are now being challenged by a genuinely strong Q1 FY27 (+43% YoY revenue) and bullish forward estimates. The thesis depends on this quarter being the start of a real inflection rather than a one-off.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 price momentum (+62.1% over 1 year), consistent with the source sheet's 'recent price strength' framing.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Source-sheet curator described a specific technical/fundamental reversal framework ('Ghoomega + Machayega') with demonstrated momentum - a clean, catalyst-driven thesis per that account, though this research did not independently verify a dedicated ValuePickr thread this pass.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sharp recent quarterly acceleration (+43% YoY revenue)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forward earnings/revenue estimates from analysts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price momentum already underway (+62% 1yr)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5-year track record is weak (11% growth, ~5-7% ROE/ROCE) - the reversal is new, not 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4,000 Cr, already smallcap-to-midcap boundary, tightening the size headroom somewhat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depends heavily on forward estimates materializing, which are not guaranteed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3,160-3,989 Cr) - reasonable headroom, contingent on the earnings-reversal thesis playing out.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Credible earnings-reversal setup with real recent confirmation - worth tracking closely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acceleration is a genuine, recent, verifiable data point, not just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weak returns mean the bar for sustained conviction is proving the trend continues for 2-3 more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has already moved significantly, so timing/entry matters more here than for an undiscovered name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2026-08-14T15:24:09.848Z</dcterms:created>
  <dcterms:modified xsi:type="dcterms:W3CDTF">2026-08-14T15:24:09.853Z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