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Unimech Aerospace and Manufacturing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UNIMECH | Precision aerospace components - already Rs 7,253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7,253 Cr (upper-midcap)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(avg / latest)</w:t>
            </w:r>
          </w:p>
        </w:tc>
        <w:tc>
          <w:tcPr>
            <w:tcW w:type="dxa" w:w="5800"/>
          </w:tcPr>
          <w:p>
            <w:r>
              <w:t xml:space="preserve">33.31% / 17.94% (moderating)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(avg)</w:t>
            </w:r>
          </w:p>
        </w:tc>
        <w:tc>
          <w:tcPr>
            <w:tcW w:type="dxa" w:w="5800"/>
          </w:tcPr>
          <w:p>
            <w:r>
              <w:t xml:space="preserve">10.53% (below what strong growth would suggest)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3yr Revenue/Profit CAGR</w:t>
            </w:r>
          </w:p>
        </w:tc>
        <w:tc>
          <w:tcPr>
            <w:tcW w:type="dxa" w:w="5800"/>
          </w:tcPr>
          <w:p>
            <w:r>
              <w:t xml:space="preserve">37% / 41%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+71% YoY, +32% QoQ; profit +47% YoY; MarketsMojo flagged margin compression alongside the surge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strong, accelerating growth in a structurally attractive niche (precision aerospace/defence components), but already a Rs 7,253 Cr company - a 10x would require ~Rs 72,500 Cr within 2-3 years, a very high bar even for a fast grower. ROE (10.5% avg) is also modest relative to the growth rate, and margin compression was flagged alongside the latest revenue surge.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Strong recent momentum (Rs 850 to ~Rs 1,400 in ~4 months per source sheet, +9% single-day jump reported on Q1 results) - a confirmed uptrend, though already well-extended.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Multiple dedicated, detailed ValuePickr posts tracking the 'capability-to-capital transition' and CNC utilization - a well-covered, community-vetted name.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Recent QIP (capital raise) alongside FY27 growth guidance - active corporate development, no red flag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accelerating growth (71% YoY revenue in Q1 FY27) in a structurally attractive aerospace/defence niche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Well-covered by ValuePickr with detailed capability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strong price momentum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Rs 7,253 Cr - a genuine 10x within 2-3 years is a very high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(10.5% avg) is modest and margin compression was flagged in the latest quarter alongside the revenue surge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Much of the near-term re-rating (Rs 850 to Rs 1,400) may already be captured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7,253 Cr) - size is the primary constraint on a genuine 10x-in-2-3-years outcome despite strong fundamentals.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business, size is the main constraint for a full 10x specifically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and community conviction are both genuinely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Market-cap headroom is the weak link for a 10x-specifically (vs. a solid multi-x)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compression alongside the growth surge is worth monitoring before assuming quality matches the top-line story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2026-08-14T15:16:50.927Z</dcterms:created>
  <dcterms:modified xsi:type="dcterms:W3CDTF">2026-08-14T15:16:50.932Z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