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20 Microns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micronized-minerals maker, dirt-cheap at ~12x P/E, quietly shifting mix from commodity (paints-linked, ~80%) toward value-added specialty minerals and functional additives -- margins are inflecting up even through a weak paints cycle, but growth is still flat and there are recurring related-party / remuneration governance niggles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20 Microns (20ML) mines and micronizes industrial minerals -- calcium carbonate, kaolin, talc, etc. -- from mine to sub-micron/nano sizing, India's largest producer of micronized industrial minerals. End-markets: paints (~46-48% of sales), polymers/plastics (~25%), rubber (~9%), plus ceramics/construction. Strategy is a multi-year 'evolution' toward Performance Minerals, specialty chemicals and functional additives (higher margin, longer approval cycles, stickier). Backward integration via ~11.3 MT captive mine reserves and a new Malaysian mine; nano subsidiary (20MNML) now ~100% owned.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800-850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~17.3% / ~14.5%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~11.8; P/B ~1.7 (BV ~Rs 137); EV/EBITDA ~5x -- cheap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(Dec/Mar)</w:t>
            </w:r>
          </w:p>
        </w:tc>
        <w:tc>
          <w:tcPr>
            <w:tcW w:type="dxa" w:w="5800"/>
          </w:tcPr>
          <w:p>
            <w:r>
              <w:t xml:space="preserve">Revenue ~Rs 917-960 Cr (+~18% reported); EBITDA ~Rs 125-130 Cr (~13-13.6%); segment growth: paints 0%, polymers +8.6%, rubber +16%, exports +12%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EBITDA margin 12.8% -&gt; 13.6% YoY despite paint-industry price war -- inflecting 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 ~Rs 65 Cr; Debt/EBITDA ~1.3x; Rs 100 Cr capex over 24 months (mix of accruals + selective debt)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guidance</w:t>
            </w:r>
          </w:p>
        </w:tc>
        <w:tc>
          <w:tcPr>
            <w:tcW w:type="dxa" w:w="5800"/>
          </w:tcPr>
          <w:p>
            <w:r>
              <w:t xml:space="preserve">Projected ~18% CAGR over 3 yrs, +200-250 bps margin, ROCE to 18-20%, 20%+ share of high-value products by FY30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growth is modest and FY26 paint-segment revenue was flat, so on a pure trailing read this looks like a sleepy commodity converter. The inflection is in margins and mix: EBITDA margin expanded (12.8-&gt;13.6%) through the worst of the paints price war (Birla Opus disruption), finance costs fell, and polymers + rubber + exports all grew double-digit while paints stagnated -- i.e. the specialty transition is showing up in the numbers. Malaysian mine operational early FY27, construction-chemicals contribution from FY27-end, Rs 100 Cr capex underway. Governance niggles recur: a Rs 50 Cr enabling approval for a loan to a promoter-interested entity (later stated to be for subsidiaries only), director/family remuneration ~12% of PAT and rising ~25% YoY, deposits from promoter relatives.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China-beating specialty minerals / functional additives (import-substitution + export)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Indian micronized-minerals producer, mine-to-nano; supplier into paints, polymers, rubber, ceramics -- moving up into performance minerals and functional additives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Captive mineral reserves + micronization/surface-treatment know-how and multi-year customer approvals for specialty grades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Gujarat Poly-Electronics / Wolkem, Ashapura Minechem, Imerys (global), Omya (global)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Commodity ~80% of the book (cost-driven, China-exposed); the thesis rides on the ~20% value-added slice compounding faster and lifting blended margin. Malaysian mine + captive reserves are the cost-side lever in the commodity book.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~Rs 130-284; was put under ASM/T2T in late 2024 after a &gt;150% run (no fundamental trigger).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 thread; anchor bull is pranavpallod12 (trusted, elevated) for whom 20ML is the single biggest portfolio position by cost. His thesis, repeated with quarterly updates: cheap valuation caps downside, margins inflecting, mix shifting to value-added, Malaysian mines for cost-side moat in the commodity book, backward integration reduces freight/RM volatility. A Financial Express 'hidden gems' piece (Dec-2025) framed the same 'boring mineral company quietly becoming a specialty play' narrative. Pushback: Malolan_R notes calcium carbonate is abundant / low value-add and China is a big player; Aman_Jain3, Jagdish85, Investsafe and akshay_awasthi press hard on the Rs 50 Cr related-party loan and on family remuneration (~Rs 7.5 Cr / 12% of PAT), several e-mailing IR and getting only standard responses. Management gave no FY27 guidance ('uncertainty'), near term called 'hazy'.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One trusted (elevated) user holds a large, openly-disclosed conviction position and updates the thread every quarter with a constructive thesis; no trusted user is bearish. Governance concerns are raised by non-trusted posters. Net: positive trusted signal at elevated tier (not core, no floor).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2026-06-19 — pranavpallod12</w:t>
      </w:r>
      <w:r>
        <w:rPr>
          <w:i/>
          <w:iCs/>
          <w:color w:val="666666"/>
          <w:sz w:val="18"/>
          <w:szCs w:val="18"/>
        </w:rPr>
        <w:t xml:space="preserve"> (20 Microns : micronized to nano-sized minerals)</w:t>
      </w:r>
      <w:r>
        <w:rPr>
          <w:sz w:val="20"/>
          <w:szCs w:val="20"/>
        </w:rPr>
        <w:br/>
        <w:t xml:space="preserve">: Post-FY26: 'valuations remain dirt-cheap, capping downside'; re-rating only when 15-20% steady growth + margin improvement shows over multiple quarters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2025-11-16 — pranavpallod12</w:t>
      </w:r>
      <w:r>
        <w:rPr>
          <w:i/>
          <w:iCs/>
          <w:color w:val="666666"/>
          <w:sz w:val="18"/>
          <w:szCs w:val="18"/>
        </w:rPr>
        <w:t xml:space="preserve"> (20 Microns : micronized to nano-sized minerals)</w:t>
      </w:r>
      <w:r>
        <w:rPr>
          <w:sz w:val="20"/>
          <w:szCs w:val="20"/>
        </w:rPr>
        <w:br/>
        <w:t xml:space="preserve">: Biggest position by cost; thesis 'completely intact, in fact improving' -- margin expansion through weak paints cycle, mix shift to value-added, Malaysian mines for backward integration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flags. Governance watch-items: Rs 50 Cr enabling approval for loan to promoter-interested entity (stated to be routed only to subsidiaries; loan agreement executed Mar-2026 with a subsidiary); director+family remuneration ~12% of PAT, up ~25% YoY; fixed deposits taken from promoter relatives; sparse concalls in some quarters.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Cheap: ~12x P/E, ~1.7x P/B, ~5x EV/EBITDA for a market-leading, asset-backed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inflecting up (12.8 -&gt; 13.6%) despite a brutal paints price war -- evidence the specialty transition is 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Value-added segments (polymers, rubber, exports) all growing double-digit while commodity paints is flat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 integration (captive reserves ~11.3 MT + Malaysian mine) is a genuine cost-side lever in the commodity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(elevated) user holds it as top position and updates constructively every quarter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growth is modest and FY26 revenue was essentially flat in the biggest segment (paints)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~80% of the book is commodity minerals with limited value-add and Chinese competition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governance niggles: Rs 50 Cr related-party loan approval, family remuneration ~12% of PAT rising ~25%/yr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gave no FY27 guidance; near term explicitly 'hazy'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Re-rating is contingent on 15-20% sustained growth that hasn't shown up yet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800-850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cheap, market-leading minerals franchise with a real (if slow) margin/mix inflection and a trusted-user anchor -- tagged 10x-in-2-3-years at Medium conviction, 'unconfirmed' until growth accelerates past ~15%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open-screen rule against letting a flat trailing average hide an inflection: margins are demonstrably turning up through a weak cycle, the value-added segments are growing double-digit, and there are specific catalysts (Malaysian mine, Rs 100 Cr capex, construction chemicals from FY27). On a small-cap, cheap base that supports a 10x-in-2-3-years tag -- but at Medium conviction with an explicit 'unconfirmed' caveat because ~80% of the book is still commodity and headline growth is flat.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 The related-party loan and elevated family remuneration are real governance drags and keep conviction from rising, but do not meet AVOID / HIGH CAUTION / EXCLUDE definitions.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no live-theme keyword hit in discovery (recency discovery); the deep read places it in the specialty-minerals / China-beating-exporter value chain, so a value_chain block is included.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 FY27 prints for (a) blended EBITDA margin continuing past ~14%, (b) consolidated (specialty) revenue outgrowing standalone, (c) any escalation of the related-party loan beyond subsidiaries.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2026-08-30T17:57:32.564Z</dcterms:created>
  <dcterms:modified xsi:type="dcterms:W3CDTF">2026-08-30T17:57:32.565Z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