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ABS Marine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fast-growing offshore-support-vessel operator riding a tight charter market - now with a CRISIL upgrade and a fresh long-term ONGC charter, but an unresolved CBI matter and debt-funded fleet growth in a brutal cycle cap conviction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Unresolved CBI matter over alleged irregularities in outsourcing of manning work of foreshore-sector vessels; debt-funded fleet expansion (facilities enhanced to Rs 505.5 Cr) in a historically brutal cyclical OSV niche.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Offshore support vessel (OSV) owner/operator chartering AHTS and support vessels to oil &amp; gas majors (ONGC JV, Schlumberger) on long-term contracts; small fleet, growing via debt-funded vessel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589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total income (consol)</w:t>
            </w:r>
          </w:p>
        </w:tc>
        <w:tc>
          <w:tcPr>
            <w:tcW w:type="dxa" w:w="5800"/>
          </w:tcPr>
          <w:p>
            <w:r>
              <w:t xml:space="preserve">~Rs 322.6 Cr, +75%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EBITDA / PAT</w:t>
            </w:r>
          </w:p>
        </w:tc>
        <w:tc>
          <w:tcPr>
            <w:tcW w:type="dxa" w:w="5800"/>
          </w:tcPr>
          <w:p>
            <w:r>
              <w:t xml:space="preserve">~Rs 152.6 Cr / ~Rs 80.8 Cr; P/E ~7x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margin</w:t>
            </w:r>
          </w:p>
        </w:tc>
        <w:tc>
          <w:tcPr>
            <w:tcW w:type="dxa" w:w="5800"/>
          </w:tcPr>
          <w:p>
            <w:r>
              <w:t xml:space="preserve">~55%; 3-yr revenue CAGR ~31%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CRISIL upgraded to A-/Stable (from BBB+) and A2+ (from A2); facilities enhanced to Rs 505.5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order</w:t>
            </w:r>
          </w:p>
        </w:tc>
        <w:tc>
          <w:tcPr>
            <w:tcW w:type="dxa" w:w="5800"/>
          </w:tcPr>
          <w:p>
            <w:r>
              <w:t xml:space="preserve">MV ARTEMIS 5-year charter Rs 126.12 Cr (Hardy Exploration / ONGC JV), extendable by 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strong - total income +75% to ~Rs 322.6 Cr, PAT ~Rs 80.8 Cr, ~55% operating margin - and the stock is cheap at ~7x earnings. The CRISIL upgrade to A-/Stable and the new 5-year (extendable) MV ARTEMIS charter with an ONGC JV both reinforce the tight-charter-market tailwind. But the CRISIL 'facilities enhanced to Rs 505.5 Cr' is precisely the debt-funded fleet-growth pattern a trusted user warned about (citing Garware Offshore's collapse), and the CBI matter over alleged irregularities in outsourcing of manning work of foreshore-sector vessels is still unresolved in what I reviewed.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offshore oil &amp; gas services - OSV charter tightness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OSV / AHTS owner-operator chartering to ONGC (JV) and international E&amp;P majors on long-term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available offshore support vessels (global supply shortage)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Great Offshore, Garware Offshore (distressed), Seamec, Dolphin Offshore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OSV supply is short after years of under-ordering, supporting charter rates for ~2 years per industry chatter - but the last cycle wiped out debt-heavy Indian players, so the balance-sheet path matters as much as the rate tailwind.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since the prior read (thread still ~7-8 posts, highest #8). Prior cautiously-bullish tone stands; the CRISIL upgrade and MV ARTEMIS charter are confirmed via public sources, not new thread posts.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Prior trusted signal carried forward: RocketMan (elevated) - flagged cyclicality/debt risk by analogy to Garware Offshore's debt-funded-fleet collapse; a caution, not a buy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2026-06-20 — RocketMan</w:t>
      </w:r>
      <w:r>
        <w:rPr>
          <w:i/>
          <w:iCs/>
          <w:color w:val="666666"/>
          <w:sz w:val="18"/>
          <w:szCs w:val="18"/>
        </w:rPr>
        <w:t xml:space="preserve"> (ABS Marine Services Ltd - Tight market, Bright market)</w:t>
      </w:r>
      <w:r>
        <w:rPr>
          <w:sz w:val="20"/>
          <w:szCs w:val="20"/>
        </w:rPr>
        <w:br/>
        <w:t xml:space="preserve">: Flagged cyclicality/debt risk by comparing to Garware Offshore's collapse from debt-funded vessel acquisition - a caution, not a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(~7x FY26 earnings) with ~55% operating margin and ~75% FY26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upgrade to A- plus a new 5-year (extendable) ONGC-JV charter - tailwind and balance-sheet both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Rs 589 Cr base in a structurally tight OSV charter market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CBI case over alleged irregularities in outsourcing of manning work of foreshore-sector vessels - unresolved governance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Enhanced credit facilities (Rs 505.5 Cr) fund exactly the debt-funded fleet expansion that sank Garware Offshore in the same cyclical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OSV is highly cyclical and contract-based - charters can be and have been terminated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community coverage (8 posts) - little independent verification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589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CRISIL upgrade and new ONGC-JV charter confirm the tailwind, but the CBI matter and debt-funded cyclical fleet growth keep it HIGH CAUTION - conviction capped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CRISIL A-/Stable upgrade is verified exactly as described, and the new 5-year MV ARTEMIS charter (ONGC JV, extendable) adds contracted visibility - both are genuine positives on top of a strong FY26 (PAT ~Rs 80.8 Cr at ~7x earnings).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neither clears the two prior concerns: the CBI matter is still unresolved, and the enhanced Rs 505.5 Cr facility is the debt-funded fleet-growth strategy RocketMan explicitly warned about in a niche where a direct peer (Garware Offshore) collapsed doing the same thing.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HIGH CAUTION rule, conviction is capped at Low-Medium (raised from Medium in the prior entry to comply with the cap; the fundamentals still merit the top of that band). thesis_fit stays 10x-in-2-3-years on the cheap valuation, growth and small base. HIGH CAUTION retained; no 30-day revisit. Re-check on CBI resolution and whether fleet debt stays serviceable through a charter-rate downcycle.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2026-09-01T18:57:35.468Z</dcterms:created>
  <dcterms:modified xsi:type="dcterms:W3CDTF">2026-09-01T18:57:35.469Z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