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Aaron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Nano-cap elevator-components + steel-polishing maker with a strong historical growth record and a fresh capex live -- but two trusted users independently see 'no moat' and the valuation sits at 40-65x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Aaron Industries (listed Sept 2018 at ~Rs 20 Cr market cap) makes elevator components -- cabins, automatic doors, safety frames -- and runs a stainless-steel division (matt/mirror polishing, PVD coating, and embossing, where it claims to be the only Indian player offering 7+ patterns as an import substitute). Promoter holding ~75%; the promoter also serves as CFO.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260 Cr (nano-cap)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~18.6% / 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</w:t>
            </w:r>
          </w:p>
        </w:tc>
        <w:tc>
          <w:tcPr>
            <w:tcW w:type="dxa" w:w="5800"/>
          </w:tcPr>
          <w:p>
            <w:r>
              <w:t xml:space="preserve">Record topline ~Rs 77.5 Cr (+22%); PAT ~Rs 6.8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history</w:t>
            </w:r>
          </w:p>
        </w:tc>
        <w:tc>
          <w:tcPr>
            <w:tcW w:type="dxa" w:w="5800"/>
          </w:tcPr>
          <w:p>
            <w:r>
              <w:t xml:space="preserve">Topline / bottomline CAGR ~36% / ~48%; operating margin 11% (2019) -&gt; 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guidance</w:t>
            </w:r>
          </w:p>
        </w:tc>
        <w:tc>
          <w:tcPr>
            <w:tcW w:type="dxa" w:w="5800"/>
          </w:tcPr>
          <w:p>
            <w:r>
              <w:t xml:space="preserve">~Rs 120 Cr topline at ~10% PAT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~Rs 32 Cr greenfield Unit-3 (Salvagnini door line, automated embossing, powder coating) live from April 2025; debt ~Rs 33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~40x forward / ~65x trailing (was ~100x at Q1 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strong multi-year compounding record (topline ~36%, PAT ~48% CAGR; margins doubling) on a tiny base, with a doubling of capacity now commissioned. But Q1 FY26 was weak (post-capex employee, depreciation and interest costs) and only Q1 FY27 showed a recovery (gross margin back to ~37%, net margin &gt;10%). The capex was repeatedly delayed, disclosure is limited (no concalls; management cites travel/business commitments), and the promoter doubles as CFO.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248-430.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~63 posts, 50 read. The primary tracker (Shanki_Bansal, not on the trusted roster) is thorough and constructive -- plant visit notes, capex tracking, 1500+ customers with ~70% recurring, urbanisation-led elevator demand, SS-embossing import substitution. The pushback is pointed: Prabhat_Mohanty (trusted, elevated) calls the post-capex results 'lacklustre' and concludes 'it is crystal clear... the company has no MOAT', quoting it at ~100x PE as a caution to retail investors; Souresh_Pal (elevated) asks 'what gives them right to win?' and finds no specific answer. Others note the clients are Tier-2/3 elevator makers, not global primes, and that the 'moat' is essentially two imported machines (~Rs 32 Cr, replicable).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trusted (elevated) users -- Prabhat_Mohanty and Souresh_Pal -- independently express scepticism about any competitive moat and about the valuation. No trusted user holds a buy conviction. This is a net-negative trusted signal.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2024-11-05 — Souresh_Pal</w:t>
      </w:r>
      <w:r>
        <w:rPr>
          <w:i/>
          <w:iCs/>
          <w:color w:val="666666"/>
          <w:sz w:val="18"/>
          <w:szCs w:val="18"/>
        </w:rPr>
        <w:t xml:space="preserve"> (Aaron Industries Ltd - The Elevator Play)</w:t>
      </w:r>
      <w:r>
        <w:rPr>
          <w:sz w:val="20"/>
          <w:szCs w:val="20"/>
        </w:rPr>
        <w:br/>
        <w:t xml:space="preserve">: Sceptical -- 'what gives them right to win?'; no specific competitive edge identified beyond the imported machines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2025-08-17 — Prabhat_Mohanty</w:t>
      </w:r>
      <w:r>
        <w:rPr>
          <w:i/>
          <w:iCs/>
          <w:color w:val="666666"/>
          <w:sz w:val="18"/>
          <w:szCs w:val="18"/>
        </w:rPr>
        <w:t xml:space="preserve"> (Aaron Industries Ltd - The Elevator Play)</w:t>
      </w:r>
      <w:r>
        <w:rPr>
          <w:sz w:val="20"/>
          <w:szCs w:val="20"/>
        </w:rPr>
        <w:br/>
        <w:t xml:space="preserve">: NEGATIVE -- 'lacklustre performance... crystal clear the company has no MOAT... quoted at a PE of 100... at our own peril'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no earnings concalls, repeated capex delays, and the promoter also holding the CFO role. Promoter made a small (~3,500-share) open-market purchase in early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multi-year record: ~36% topline / ~48% PAT CAGR, operating margin 11% -&gt; 19%, off a nano-cap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roughly doubled with the Unit-3 capex now live -- operating leverage should show over 2-3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Elevator demand tailwind (urbanisation, multi-storey construction) plus SS-embossing import substitution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1500+ customers, ~70% recurring; low debt-to-equity historically; promoter buying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trusted users independently conclude there is no moat -- clients are Tier-2/3, the 'edge' is two replicable imported machines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(40-65x) for a commoditised component supplier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Post-capex margin drag; capex was repeatedly delayed; debt up to ~Rs 33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concalls; promoter is also CFO -- weak governance/disclosure optics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elevator primes do not source from Aaron -- an unanswered question on the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Nano-cap (~Rs 260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nano-cap with a real historical growth record and fresh capacity, but a no-moat consensus from two trusted users and a 40-65x multiple keep it out of the multi-bagger bucket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historical growth is genuine and the base is tiny, which is why this was worth a deep read -- but the business is a commoditised component supplier to Tier-2/3 elevator makers, with two elevated-tier users independently flagging the absence of any competitive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 recovery (Q1 FY27) is a return to normal margins after a capex air-pocket, not a positive inflection, so the small-cap recent-catalyst carve-out does not lift it to the growth bucket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Low. No revisit; re-check only if operating leverage from Unit-3 produces a clear, sustained step-up in margin and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2026-08-27T16:50:30.679Z</dcterms:created>
  <dcterms:modified xsi:type="dcterms:W3CDTF">2026-08-27T16:50:30.680Z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