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Aatmaj Healthcare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Tiny NSE-SME hospital operator with ~1.7% ROE, 368 debtor days and weak growth — fails the quality gate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Aatmaj Healthcare (incorporated 2022, NSE SME since 2023) runs multi- and super-speciality hospitals — 6 hospitals, ~330 beds (extendable to ~430), ~30 consultant doctors.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3-yr ROE</w:t>
            </w:r>
          </w:p>
        </w:tc>
        <w:tc>
          <w:tcPr>
            <w:tcW w:type="dxa" w:w="5800"/>
          </w:tcPr>
          <w:p>
            <w:r>
              <w:t xml:space="preserve">~1.7%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~9.4%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debt (Mar-26)</w:t>
            </w:r>
          </w:p>
        </w:tc>
        <w:tc>
          <w:tcPr>
            <w:tcW w:type="dxa" w:w="5800"/>
          </w:tcPr>
          <w:p>
            <w:r>
              <w:t xml:space="preserve">~Rs 9.3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Debtor days</w:t>
            </w:r>
          </w:p>
        </w:tc>
        <w:tc>
          <w:tcPr>
            <w:tcW w:type="dxa" w:w="5800"/>
          </w:tcPr>
          <w:p>
            <w:r>
              <w:t xml:space="preserve">~368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Other</w:t>
            </w:r>
          </w:p>
        </w:tc>
        <w:tc>
          <w:tcPr>
            <w:tcW w:type="dxa" w:w="5800"/>
          </w:tcPr>
          <w:p>
            <w:r>
              <w:t xml:space="preserve">low interest-coverage ratio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numbers do not support a growth thesis: ~1.7% three-year ROE, ~9.4% five-year sales growth, ~368 debtor days (receivables quality/working-capital red-flag-adjacent), and a low interest-coverage ratio on a small net-debt base. It is a sub-Rs 50 Cr SME with no evidence of an operating inflection.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— negligible SME liquidity.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at the preliminary stage on fundamentals; VP thread has only ~7 replies and no material recent discussion. Deep read not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users; no material community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bed base with stated expansion headroom (~330 -&gt; ~430 beds) if utilisation and payer mix improve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~1.7% ROE, ~9.4% 5-yr sales growth — no profitability or growth to build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~368 debtor days and low interest coverage — receivables and balance-sheet quality concerns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Sub-Rs 50 Cr SME with negligible liquidity and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identifiable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/ SME (~Rs 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Fails the quality gate on returns, growth and receivables —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of the AVOID/EXCLUDE kind, but both trailing and recent fundamentals are weak (ROE ~1.7%, growth ~9.4%, ~368 debtor days, low interest coverage) with no catalyst — filtered out at Step 3, thesis_fit 'neither'.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2026-08-30T17:31:11.192Z</dcterms:created>
  <dcterms:modified xsi:type="dcterms:W3CDTF">2026-08-30T17:31:11.192Z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