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Accel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Statistically cheap diversified micro-cap with weak returns, meaningful debt and no visible catalyst - a value trap profile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Accel Ltd (formerly Accel Transmatic) is a diversified micro-cap spanning IT services, animation/media, engineering, realty and academic/training businesses (Accel Media, Accel Realty, Accel Academy, Cetronics Technologies).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76 Cr (micro-cap; down ~24% in a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~Rs 164 Cr / ~Rs 5.3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~6.0%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Interest coverage</w:t>
            </w:r>
          </w:p>
        </w:tc>
        <w:tc>
          <w:tcPr>
            <w:tcW w:type="dxa" w:w="5800"/>
          </w:tcPr>
          <w:p>
            <w:r>
              <w:t xml:space="preserve">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~71.4%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 price</w:t>
            </w:r>
          </w:p>
        </w:tc>
        <w:tc>
          <w:tcPr>
            <w:tcW w:type="dxa" w:w="5800"/>
          </w:tcPr>
          <w:p>
            <w:r>
              <w:t xml:space="preserve">~Rs 19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Accel trades on optically cheap multiples but the quality is poor: ~6% three-year ROE, a low interest-coverage ratio, and a diversified conglomerate structure with no single growth engine. The legacy screen already flagged flat organic growth and recent loss-making quarters; nothing in current data overturns that. Debt is meaningful relative to the ~Rs 76 Cr market cap.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sub-Rs 20 price, down ~24% over a year - no re-rating momentum.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usable ValuePickr thread could be confidently identified (forum search returned no clear company match). Web-only assessment.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Statistically cheap on price-to-sales / price-to-book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promoter holding (~71%) and a genuine micro-cap size that could re-rate on any operational turnaround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~6% three-year ROE and low interest coverage - weak capital efficiency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across five unrelated businesses with no clear growth driver or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Meaningful debt relative to a ~Rs 76 Cr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down ~24% over a year - the market is not pricing a turnaround, and neither should we without evidence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76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 but low-quality and catalyst-free - a classic value trap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Legacy-108-screen seed (old bucket Tier C 'watch', 'statistically cheap, fundamentally and technically unexciting - not a 10x without a specific catalyst', frozen 2026-08-15) - that call still holds under the open-screen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tier, but no identifiable ValuePickr thread and no catalyst; fundamentals remain weak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 fit 'neither', conviction LOW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2026-08-27T17:58:06.789Z</dcterms:created>
  <dcterms:modified xsi:type="dcterms:W3CDTF">2026-08-27T17:58:06.789Z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