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Action Construction Equipment (ACE)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construction/material-handling equipment compounder — now large enough that 10x needs a much sharper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ACE manufactures cranes, backhoe loaders, and other construction/material-handling equipment, and is a leading domestic player in mobile cranes — a direct beneficiary of India's infrastructure and construction capex cycle.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14,064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26.12% (Dec 2025), well above 10-yr median of 15.5%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10.94% (moderate, not exceptional)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40.5% CAGR over last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trend</w:t>
            </w:r>
          </w:p>
        </w:tc>
        <w:tc>
          <w:tcPr>
            <w:tcW w:type="dxa" w:w="5800"/>
          </w:tcPr>
          <w:p>
            <w:r>
              <w:t xml:space="preserve">Hit fresh 52-week highs in mid-August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ROE and a genuine 5-year profit CAGR track record on an almost debt-free balance sheet. ROCE (~11%) is more moderate than the ROE headline suggests, though. The stock hitting fresh 52-week highs this month signals the growth story is already well recognized by the market, reducing margin of safety.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hit fresh 52-week highs around 2026-08-18/19 per news coverage — strong momentum, but entry now comes with less cushion than earlier in the cycle.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active ValuePickr thread (topic 397, 252 posts, last activity 2026-07-22).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spot-checked posts were low-signal for conviction purposes: one was a question comparing ACE to other listed crane/equipment players (no thesis given), the other just linked an AI-summarized Q4 FY25 concall doc without commentary. No standout reasoned high-conviction call surfaced in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with strong ROE (26%) and a real 40.5% 5-year profit CAGR — not a story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Direct, durable beneficiary of India's infrastructure/construction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Long-running, active ValuePickr community coverage (252 posts) for ongoing tracking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14,000 Cr market cap, ACE is already large-cap-adjacent — a 10x from here needs a much sharper, more specific catalyst than general capex-cycle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(~11%) is only moderate, not the standout figure the ROE alone implies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at fresh 52-week highs, meaning the growth story is already priced in to a real degree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Large-cap-adjacent / upper mid-cap (~Rs 14,064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compounder, but too large now for a plain 10x case without a sharper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(debt-free, strong ROE, real profit CAGR) are genuinely good — this is not a quality-gate failure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market cap has grown to a point where the thesis requires a specific, sharper catalyst than general infra-capex tailwind, and none surfaced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52-week highs further compresses margin of safety for a fresh position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2026-08-22T02:47:27.809Z</dcterms:created>
  <dcterms:modified xsi:type="dcterms:W3CDTF">2026-08-22T02:47:27.811Z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