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Advent Hotels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luxury-hotel owner with ~1.6% three-year ROE, near-flat revenue and a widening pre-tax loss in the latest quarter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Advent Hotels International owns and develops luxury and upper-upscale hotels in prime Indian micro-markets.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780-800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388 Cr reported; Q2 FY26 ~Rs 77 Cr (+1.9%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profit</w:t>
            </w:r>
          </w:p>
        </w:tc>
        <w:tc>
          <w:tcPr>
            <w:tcW w:type="dxa" w:w="5800"/>
          </w:tcPr>
          <w:p>
            <w:r>
              <w:t xml:space="preserve">Q2 FY26 pre-tax loss ~Rs 2.8 Cr, widened from ~Rs 1.2 Cr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120 - 345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returns are very poor (3-yr ROE ~1.6%), revenue is barely growing, operating expenses are rising ~21% YoY, and the most recent quarter posted a widening pre-tax loss. There is no positive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The thread is small (~4 replies). Filtered at the preliminary stage: weak trailing returns, near-flat revenue and a widening recent-quarter loss, with no catalyst.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 Wide 52-week range (Rs 120-345) points to a thin, volatile micro-cap.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 ownership in prime hotel micro-markets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hospitality up-cycle (ARR/occupancy tailwind) could help owned assets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leaves optionality if occupancy and rates ramp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ROE ~1.6%; loss-making in the latest quarter and widening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essentially flat while costs rise ~21%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Thin, volatile micro-cap; no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780-800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returns, flat revenue, widening losses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trailing and weak recent trend, no catalyst -&gt;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conviction Low;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2026-08-27T16:50:31.206Z</dcterms:created>
  <dcterms:modified xsi:type="dcterms:W3CDTF">2026-08-27T16:50:31.206Z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