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Aequs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vertically-integrated single-SEZ aerospace precision-component manufacturer, riding a real global aviation upcycle but dragged consolidated-loss-making by a weak consumer-products segment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Aequs is a precision component manufacturer operating a fully vertically integrated aerospace ecosystem (forging, machining, surface treatment, assembly) within a single SEZ in India — a structurally unique setup among Indian peers, supplying 5,000+ aerospace products across major global platforms. It also runs a separate, currently loss-making consumer-products manufacturing segment (toys/consumer goods contract manufacturing). IPO'd Dec 2025, raising Rs 921.81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16,234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-10.08% / -6.63% (consolidated, 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revenue ~Rs 4B vs Rs 2.6B YoY (~54%); FY26 net loss Rs 113.3 Cr consolidated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Segment split</w:t>
            </w:r>
          </w:p>
        </w:tc>
        <w:tc>
          <w:tcPr>
            <w:tcW w:type="dxa" w:w="5800"/>
          </w:tcPr>
          <w:p>
            <w:r>
              <w:t xml:space="preserve">Aerospace: 33% EBITDA margin (beat management's own 20%+ target). Consumer: ~-24% EBITDA margin, still loss-making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0.02, net debt down to Rs 47 Cr (Mar-26) from Rs 273 Cr (Mar-25) — deleveraging fast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 concentration</w:t>
            </w:r>
          </w:p>
        </w:tc>
        <w:tc>
          <w:tcPr>
            <w:tcW w:type="dxa" w:w="5800"/>
          </w:tcPr>
          <w:p>
            <w:r>
              <w:t xml:space="preserve">Top 10 clients = 82.51% of H1 FY26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5800"/>
          </w:tcPr>
          <w:p>
            <w:r>
              <w:t xml:space="preserve">~Rs 244 (31-Aug-26); recently listed, no multi-year chart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bifurcated business: the aerospace segment is executing well ahead of plan (33% EBITDA margin vs a 20%+ target) and sits directly in the global commercial-aviation-upcycle tailwind, while the consumer segment is a real drag (-24% EBITDA margin) pulling the consolidated entity to a Rs 113.3 Cr net loss in FY26. Management guides consolidated break-even only by H1 FY28. Debt is being paid down fast post-IPO, and top-10 customer concentration (82.5%) is a real single-client/programme risk typical of aerospace supply chains.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(missiles, interceptors, precision parts)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Tier-1/2 precision-component manufacturer to global aerospace OEMs and their supply chains (forging, machining, surface treatment, assembly) — supplies parts into major global aerospace platforms, benefiting from both the commercial-aviation build-rate upcycle and broader reshoring/derisking of aerospace supply chains away from single-source geographies.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Original X lead (@Accuracy_Invst, untrusted) flagged this as a technical 'second attempt' post-IPO rally that hasn't sustained — a short-term trading observation, not independently verified here.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Aequs — only passing mentions inside an unrelated rare-earth-elements thread and a one-off comparison snippet inside the Dynamatic Technologies thread (an analyst initiation note comparing the two). Web/filings-only per Step 3.05.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from ValuePickr (no dedicated thread exists yet for this Dec-2025 IPO).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unique positioning: only Indian precision-component manufacturer with a fully vertically integrated aerospace ecosystem in a single SEZ — a real, not marketing,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 segment is beating its own margin target (33% vs 20%+ guided) and is a direct beneficiary of the priority-1 'defence/aerospace manufacturing bottlenecks' tailwind (global commercial aviation upcycle + reshoring of aerospace supply chains)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Deleveraging fast post-IPO (net debt down ~83% YoY) while growing revenue ~54% YoY at the segment reported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Fresh, well-capitalised balance sheet (Rs 921.81 Cr IPO proceeds) to fund the consumer-segment turnaround runway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entity is loss-making (ROE -10%, ROCE -6.6%) — the aerospace segment's real quality is masked at the group level by the consumer segment's -24% EBITDA margin, with break-even not guided until H1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Top-10 customer concentration at 82.5% of revenue is a material single-programme/client risk common to aerospace suppliers but still a real vulnerability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16,234 Cr market cap already prices in a lot of the aerospace-segment quality against a consolidated business that isn't profitable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exists yet to cross-check management credibility or track the consumer-segment turnaround — this is an unvalidated, story-stage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lead was a technical/momentum observation (untrusted X source), not a fundamentals-based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16,234 Cr), recently listed (Dec 2025 IPO)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direct global commercial-aviation-upcycle beneficiary, priority-1 theme. TAM weak: aerospace segment TAM is large and growing, but consumer segment (loss-making, -24% EBITDA margin) is a genuine drag on the addressable opportunity at the consolidated level. Moat yes: only vertically-integrated single-SEZ aerospace ecosystem among Indian peers — structural, not marketing. Valuation no: consolidated net loss (Rs113.3cr FY26) against a Rs16,234cr market cap, no clean current-earnings anchor.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aerospace-tailwind exposure with a real structural moat, but the consolidated numbers don't clear the bar yet — worth a revisit once the consumer-segment turnaround or a VP thread materialises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'Defence / aerospace manufacturing bottlenecks' theme — aerospace segment is a textbook fit (global aviation upcycle, vertically integrated SEZ moat)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2.5 (tailwind yes, moat yes, tam weak, valuation no) sits in the 2.0-2.5 band; declined to invoke the exception given valuation is explicitly 'no' (consolidated net loss against a Rs 16,234 Cr cap) and there is zero independent forum validation to lean on for an unconfirmed call — thesis_fit kept at 'neither' rather than stretched to a 10x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flagging for re-verification once (a) consumer-segment losses narrow or (b) a ValuePickr thread opens that lets trusted users stress-test customer-concentration and margin durability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2026-09-05T13:07:20.207Z</dcterms:created>
  <dcterms:modified xsi:type="dcterms:W3CDTF">2026-09-05T13:07:20.211Z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