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Aeroflex Industries Ltd</w:t>
      </w:r>
    </w:p>
    <w:p>
      <w:pPr>
        <w:pBdr>
          <w:bottom w:val="single" w:color="CCCCCC" w:sz="6" w:space="8"/>
        </w:pBdr>
        <w:spacing w:after="200"/>
      </w:pPr>
      <w:r>
        <w:rPr>
          <w:i/>
          <w:iCs/>
          <w:color w:val="666666"/>
          <w:sz w:val="22"/>
          <w:szCs w:val="22"/>
        </w:rPr>
        <w:t xml:space="preserve">Flexible-hose maker whose AI data-center liquid-cooling pivot is now confirmed in the numbers (Q1 FY27 revenue +72%, skids 23% of mix) and is a core-trusted investor's primary holding - but ~107x P/E leaves no margin of safety</w:t>
      </w:r>
    </w:p>
    <w:p>
      <w:pPr>
        <w:pStyle w:val="Heading1"/>
        <w:spacing w:after="120" w:before="280"/>
      </w:pPr>
      <w:r>
        <w:t xml:space="preserve">Business Overview</w:t>
      </w:r>
    </w:p>
    <w:p>
      <w:pPr>
        <w:spacing w:after="120"/>
      </w:pPr>
      <w:r>
        <w:t xml:space="preserve">Aeroflex manufactures corrugated stainless steel flexible hoses (temperature range -270C to 700C) for industrial piping applications, and has recently pivoted aggressively into liquid cooling skids/flow-control components and assemblies for AI data centers, supplying to Vertiv (a key hyperscaler infrastructure vendor). Management is scaling skid assembly capacity from 2,000 units toward 15,000 units through FY27, targeting revenue of Rs 1,000+ Cr by FY29 at 23-25% EBITDA margins. Debt-free balance sheet; Ashish Kacholia has been increasing his stake via preferential issue.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7,174 Cr (price ~Rs 542, 29-Aug-2026; up ~218% in 1 year)</w:t>
            </w:r>
          </w:p>
        </w:tc>
      </w:tr>
      <w:tr>
        <w:tc>
          <w:tcPr>
            <w:tcW w:type="dxa" w:w="3200"/>
            <w:shd w:fill="F2F2F2" w:val="clear"/>
          </w:tcPr>
          <w:p>
            <w:r>
              <w:rPr>
                <w:b/>
                <w:bCs/>
              </w:rPr>
              <w:t xml:space="preserve">ROE / ROCE</w:t>
            </w:r>
          </w:p>
        </w:tc>
        <w:tc>
          <w:tcPr>
            <w:tcW w:type="dxa" w:w="5800"/>
          </w:tcPr>
          <w:p>
            <w:r>
              <w:t xml:space="preserve">~14-16% ROE / ~18.9% ROCE (FY26; the earlier 1.09% ROCE figure was a stale/bad data pull, not real)</w:t>
            </w:r>
          </w:p>
        </w:tc>
      </w:tr>
      <w:tr>
        <w:tc>
          <w:tcPr>
            <w:tcW w:type="dxa" w:w="3200"/>
            <w:shd w:fill="F2F2F2" w:val="clear"/>
          </w:tcPr>
          <w:p>
            <w:r>
              <w:rPr>
                <w:b/>
                <w:bCs/>
              </w:rPr>
              <w:t xml:space="preserve">FY26 revenue / EBITDA / PAT</w:t>
            </w:r>
          </w:p>
        </w:tc>
        <w:tc>
          <w:tcPr>
            <w:tcW w:type="dxa" w:w="5800"/>
          </w:tcPr>
          <w:p>
            <w:r>
              <w:t xml:space="preserve">Rs 442 Cr (+17.5%) / Rs 99.7 Cr (22.6% margin, +156 bps) / Rs 55.5 Cr (+6%, held back by higher depreciation)</w:t>
            </w:r>
          </w:p>
        </w:tc>
      </w:tr>
      <w:tr>
        <w:tc>
          <w:tcPr>
            <w:tcW w:type="dxa" w:w="3200"/>
            <w:shd w:fill="F2F2F2" w:val="clear"/>
          </w:tcPr>
          <w:p>
            <w:r>
              <w:rPr>
                <w:b/>
                <w:bCs/>
              </w:rPr>
              <w:t xml:space="preserve">Q1 FY27</w:t>
            </w:r>
          </w:p>
        </w:tc>
        <w:tc>
          <w:tcPr>
            <w:tcW w:type="dxa" w:w="5800"/>
          </w:tcPr>
          <w:p>
            <w:r>
              <w:t xml:space="preserve">Revenue Rs 146 Cr (+72% YoY), EBITDA Rs 33.5 Cr (23.0% margin), PAT Rs 18.8 Cr (+162%); skids = 23% of revenue</w:t>
            </w:r>
          </w:p>
        </w:tc>
      </w:tr>
      <w:tr>
        <w:tc>
          <w:tcPr>
            <w:tcW w:type="dxa" w:w="3200"/>
            <w:shd w:fill="F2F2F2" w:val="clear"/>
          </w:tcPr>
          <w:p>
            <w:r>
              <w:rPr>
                <w:b/>
                <w:bCs/>
              </w:rPr>
              <w:t xml:space="preserve">P/E</w:t>
            </w:r>
          </w:p>
        </w:tc>
        <w:tc>
          <w:tcPr>
            <w:tcW w:type="dxa" w:w="5800"/>
          </w:tcPr>
          <w:p>
            <w:r>
              <w:t xml:space="preserve">~107x (still very rich)</w:t>
            </w:r>
          </w:p>
        </w:tc>
      </w:tr>
      <w:tr>
        <w:tc>
          <w:tcPr>
            <w:tcW w:type="dxa" w:w="3200"/>
            <w:shd w:fill="F2F2F2" w:val="clear"/>
          </w:tcPr>
          <w:p>
            <w:r>
              <w:rPr>
                <w:b/>
                <w:bCs/>
              </w:rPr>
              <w:t xml:space="preserve">Debt</w:t>
            </w:r>
          </w:p>
        </w:tc>
        <w:tc>
          <w:tcPr>
            <w:tcW w:type="dxa" w:w="5800"/>
          </w:tcPr>
          <w:p>
            <w:r>
              <w:t xml:space="preserve">Near debt-free (Rs 9 Cr borrowings, Rs 421 Cr reserves)</w:t>
            </w:r>
          </w:p>
        </w:tc>
      </w:tr>
      <w:tr>
        <w:tc>
          <w:tcPr>
            <w:tcW w:type="dxa" w:w="3200"/>
            <w:shd w:fill="F2F2F2" w:val="clear"/>
          </w:tcPr>
          <w:p>
            <w:r>
              <w:rPr>
                <w:b/>
                <w:bCs/>
              </w:rPr>
              <w:t xml:space="preserve">52-week range</w:t>
            </w:r>
          </w:p>
        </w:tc>
        <w:tc>
          <w:tcPr>
            <w:tcW w:type="dxa" w:w="5800"/>
          </w:tcPr>
          <w:p>
            <w:r>
              <w:t xml:space="preserve">Rs 158 - ~545 (at/near new highs)</w:t>
            </w:r>
          </w:p>
        </w:tc>
      </w:tr>
    </w:tbl>
    <w:p>
      <w:pPr>
        <w:spacing w:after="100"/>
      </w:pPr>
    </w:p>
    <w:p>
      <w:pPr>
        <w:spacing w:after="120"/>
      </w:pPr>
      <w:r>
        <w:t xml:space="preserve">The deep read corrects the record: the 'ROCE 1.09%' figure in the prior write-up was a bad data pull, not a real profitability collapse - screener shows FY26 ROCE ~18.9% and 3-yr ROE ~16%, and the business is genuinely accelerating. FY26 revenue Rs 442 Cr (+17.5%), EBITDA Rs 99.7 Cr at a 22.6% margin (up 156 bps); Q1 FY27 then stepped up hard to Rs 146 Cr revenue (+72% YoY) with a 23.0% EBITDA margin and PAT +162%. The liquid-cooling skid business is now ~23% of revenue and scaling (capacity 6,000 -&gt; 9,000 done, 15,000 targeted by Oct-Nov 2026, slipped from the earlier June-2026 date), funded by a Rs 55 Cr preferential issue (Feb 2026, Rs 182.70/sh, Ashish Kacholia allotted ~4.1 lakh shares) plus internal accruals - balance sheet stays near debt-free. The unresolved problem is valuation: at ~Rs 7,174 Cr market cap and ~107x trailing earnings the stock has round-tripped from its Rs 158 low back to new highs, so it is again priced for multi-year flawless execution.</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2026-08-30.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FY24/FY25/FY26 P&amp;L, balance sheet and cash flow via screener.in consolidated (annual-report-derived); FY26 results release + investor-call coverage (multibagg.ai)</w:t>
      </w:r>
    </w:p>
    <w:p>
      <w:pPr>
        <w:pStyle w:val="ListParagraph"/>
        <w:numPr>
          <w:ilvl w:val="0"/>
          <w:numId w:val="1"/>
        </w:numPr>
        <w:spacing w:after="60"/>
      </w:pPr>
      <w:r>
        <w:t xml:space="preserve">Q1 FY26 - Q1 FY27 quarterly results + Q1 FY27 earnings-call highlights (Yahoo Finance, scanx, marketsmojo)</w:t>
      </w:r>
    </w:p>
    <w:p>
      <w:pPr>
        <w:pStyle w:val="ListParagraph"/>
        <w:numPr>
          <w:ilvl w:val="0"/>
          <w:numId w:val="1"/>
        </w:numPr>
        <w:spacing w:after="60"/>
      </w:pPr>
      <w:r>
        <w:t xml:space="preserve">BSE/NSE announcements Dec 2025 - Aug 2026: Rs 55 Cr preferential issue (Feb 2026), skid capacity-expansion board approval, GST demand order Rs 7.19 Cr, analyst/investor meets May &amp; Aug 2026 (Business Standard, prysm.fi, scanx)</w:t>
      </w:r>
    </w:p>
    <w:p>
      <w:pPr>
        <w:spacing w:after="120"/>
      </w:pPr>
      <w:r>
        <w:rPr>
          <w:b/>
          <w:bCs/>
          <w:sz w:val="20"/>
          <w:szCs w:val="20"/>
        </w:rPr>
        <w:t xml:space="preserve">Annual-report findings (3-year view):</w:t>
      </w:r>
    </w:p>
    <w:p>
      <w:pPr>
        <w:pStyle w:val="ListParagraph"/>
        <w:numPr>
          <w:ilvl w:val="0"/>
          <w:numId w:val="1"/>
        </w:numPr>
        <w:spacing w:after="60"/>
      </w:pPr>
      <w:r>
        <w:t xml:space="preserve">FY24 -&gt; FY25 -&gt; FY26 revenue Rs 318 -&gt; 376 -&gt; 442 Cr; EBITDA Rs 62 -&gt; 80 -&gt; 100 Cr with OPM rising 20% -&gt; 21% -&gt; 23%; PAT Rs 42 -&gt; 53 -&gt; 56 Cr (FY26 PAT growth only 6% as depreciation/tax rose)</w:t>
      </w:r>
    </w:p>
    <w:p>
      <w:pPr>
        <w:pStyle w:val="ListParagraph"/>
        <w:numPr>
          <w:ilvl w:val="0"/>
          <w:numId w:val="1"/>
        </w:numPr>
        <w:spacing w:after="60"/>
      </w:pPr>
      <w:r>
        <w:t xml:space="preserve">Profitability is healthy, contradicting the prior write-up: FY26 ROCE ~18.9%, 3-yr ROE ~16%, 5-yr ROE ~19% - the '1.09% ROCE' was a bad pull</w:t>
      </w:r>
    </w:p>
    <w:p>
      <w:pPr>
        <w:pStyle w:val="ListParagraph"/>
        <w:numPr>
          <w:ilvl w:val="0"/>
          <w:numId w:val="1"/>
        </w:numPr>
        <w:spacing w:after="60"/>
      </w:pPr>
      <w:r>
        <w:t xml:space="preserve">Balance sheet near debt-free (borrowings Rs 9 Cr FY26, reserves Rs 421 Cr); expansion funded by Rs 55 Cr preferential issue + internal accruals</w:t>
      </w:r>
    </w:p>
    <w:p>
      <w:pPr>
        <w:pStyle w:val="ListParagraph"/>
        <w:numPr>
          <w:ilvl w:val="0"/>
          <w:numId w:val="1"/>
        </w:numPr>
        <w:spacing w:after="60"/>
      </w:pPr>
      <w:r>
        <w:t xml:space="preserve">Cash-flow quality mixed: CFO/OP 95% (FY24), 54% (FY25), 85% (FY26); FCF negative in FY25 (-Rs 78 Cr) and FY26 (-Rs 5 Cr) on capex + working-capital build for the skid ramp</w:t>
      </w:r>
    </w:p>
    <w:p>
      <w:pPr>
        <w:pStyle w:val="ListParagraph"/>
        <w:numPr>
          <w:ilvl w:val="0"/>
          <w:numId w:val="1"/>
        </w:numPr>
        <w:spacing w:after="60"/>
      </w:pPr>
      <w:r>
        <w:t xml:space="preserve">Promoter holding steady at 65.47% (from ~67% in FY24, diluted by the preferential issue); no pledge; FII up to 3.61% (Jun 2026), DII down to 1.48%</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Sequential revenue Rs 84 (Q1FY26) -&gt; 111 -&gt; 121 -&gt; 126 -&gt; 146 Cr (Q1FY27); operating profit Rs 15 -&gt; 26 -&gt; 28 -&gt; 30 -&gt; 33 Cr; EBITDA margin expanded from ~18% to ~23%</w:t>
      </w:r>
    </w:p>
    <w:p>
      <w:pPr>
        <w:pStyle w:val="ListParagraph"/>
        <w:numPr>
          <w:ilvl w:val="0"/>
          <w:numId w:val="1"/>
        </w:numPr>
        <w:spacing w:after="60"/>
      </w:pPr>
      <w:r>
        <w:t xml:space="preserve">Q1 FY27 is the clearest inflection quarter yet: revenue +72.4% YoY, EBITDA +116%, PAT +162%, cash profit +100%+; SFN skid-assembly revenue Rs 32.4 Cr = ~23% of total</w:t>
      </w:r>
    </w:p>
    <w:p>
      <w:pPr>
        <w:pStyle w:val="ListParagraph"/>
        <w:numPr>
          <w:ilvl w:val="0"/>
          <w:numId w:val="1"/>
        </w:numPr>
        <w:spacing w:after="60"/>
      </w:pPr>
      <w:r>
        <w:t xml:space="preserve">Flexible-hose base business still growing fast (+41% YoY in Q1 FY27); exports +43% YoY</w:t>
      </w:r>
    </w:p>
    <w:p>
      <w:pPr>
        <w:pStyle w:val="ListParagraph"/>
        <w:numPr>
          <w:ilvl w:val="0"/>
          <w:numId w:val="1"/>
        </w:numPr>
        <w:spacing w:after="60"/>
      </w:pPr>
      <w:r>
        <w:t xml:space="preserve">Concall tone confident: 25% EBITDA-margin target 'over the next few years' on mix shift to assemblies; Q4 FY27 skid utilisation guided 60-65% of 15,000-unit capacity; FY28 skid utilisation ~80%; sequential margin dipped 80 bps on employee cost + logistics</w:t>
      </w:r>
    </w:p>
    <w:p>
      <w:pPr>
        <w:spacing w:after="120"/>
      </w:pPr>
      <w:r>
        <w:rPr>
          <w:b/>
          <w:bCs/>
          <w:sz w:val="20"/>
          <w:szCs w:val="20"/>
        </w:rPr>
        <w:t xml:space="preserve">Exchange announcements (last 6 months):</w:t>
      </w:r>
    </w:p>
    <w:p>
      <w:pPr>
        <w:pStyle w:val="ListParagraph"/>
        <w:numPr>
          <w:ilvl w:val="0"/>
          <w:numId w:val="1"/>
        </w:numPr>
        <w:spacing w:after="60"/>
      </w:pPr>
      <w:r>
        <w:t xml:space="preserve">Feb 2026: board allotted 30.1 lakh shares at Rs 182.70 (Rs 55 Cr preferential issue); Ashish Kacholia allotted ~4.1 lakh shares</w:t>
      </w:r>
    </w:p>
    <w:p>
      <w:pPr>
        <w:pStyle w:val="ListParagraph"/>
        <w:numPr>
          <w:ilvl w:val="0"/>
          <w:numId w:val="1"/>
        </w:numPr>
        <w:spacing w:after="60"/>
      </w:pPr>
      <w:r>
        <w:t xml:space="preserve">Skid capacity: 6,000 -&gt; 9,000 units done; 15,000-unit target slipped from June 2026 to Oct-Nov 2026 (Q3 FY27) on external machine-supplier delivery; budgeted capex Rs 48 Cr</w:t>
      </w:r>
    </w:p>
    <w:p>
      <w:pPr>
        <w:pStyle w:val="ListParagraph"/>
        <w:numPr>
          <w:ilvl w:val="0"/>
          <w:numId w:val="1"/>
        </w:numPr>
        <w:spacing w:after="60"/>
      </w:pPr>
      <w:r>
        <w:t xml:space="preserve">GST demand order of Rs 7.19 Cr from Central GST Commissionerate (contested; immaterial)</w:t>
      </w:r>
    </w:p>
    <w:p>
      <w:pPr>
        <w:pStyle w:val="ListParagraph"/>
        <w:numPr>
          <w:ilvl w:val="0"/>
          <w:numId w:val="1"/>
        </w:numPr>
        <w:spacing w:after="60"/>
      </w:pPr>
      <w:r>
        <w:t xml:space="preserve">Analyst/investor meets held May 2026 and Aug 2026 (Mumbai, Singapore) - IR activity consistent with a re-rating name</w:t>
      </w:r>
    </w:p>
    <w:p>
      <w:pPr>
        <w:pStyle w:val="ListParagraph"/>
        <w:numPr>
          <w:ilvl w:val="0"/>
          <w:numId w:val="1"/>
        </w:numPr>
        <w:spacing w:after="60"/>
      </w:pPr>
      <w:r>
        <w:t xml:space="preserve">Fire-hose assemblies targeted for commercialisation Q2/Q3 FY27; international (Europe/US) revenue expected to start in FY27</w:t>
      </w:r>
    </w:p>
    <w:p>
      <w:pPr>
        <w:spacing w:after="120"/>
      </w:pPr>
      <w:r>
        <w:rPr>
          <w:b/>
          <w:bCs/>
          <w:sz w:val="20"/>
          <w:szCs w:val="20"/>
        </w:rPr>
        <w:t xml:space="preserve">Key new facts vs. the prior write-up:</w:t>
      </w:r>
    </w:p>
    <w:p>
      <w:pPr>
        <w:pStyle w:val="ListParagraph"/>
        <w:numPr>
          <w:ilvl w:val="0"/>
          <w:numId w:val="1"/>
        </w:numPr>
        <w:spacing w:after="60"/>
      </w:pPr>
      <w:r>
        <w:t xml:space="preserve">The '1.09% ROCE' in the prior write-up is wrong - real FY26 ROCE is ~18.9%; profitability is not impaired</w:t>
      </w:r>
    </w:p>
    <w:p>
      <w:pPr>
        <w:pStyle w:val="ListParagraph"/>
        <w:numPr>
          <w:ilvl w:val="0"/>
          <w:numId w:val="1"/>
        </w:numPr>
        <w:spacing w:after="60"/>
      </w:pPr>
      <w:r>
        <w:t xml:space="preserve">Q1 FY27 hard-confirms the skid ramp (23% of revenue, +72% total revenue growth, 23% EBITDA margin) - the thesis is no longer 'unproven'</w:t>
      </w:r>
    </w:p>
    <w:p>
      <w:pPr>
        <w:pStyle w:val="ListParagraph"/>
        <w:numPr>
          <w:ilvl w:val="0"/>
          <w:numId w:val="1"/>
        </w:numPr>
        <w:spacing w:after="60"/>
      </w:pPr>
      <w:r>
        <w:t xml:space="preserve">15,000-unit capacity date slipped ~4-5 months (June -&gt; Oct-Nov 2026) - first concrete execution slip on record</w:t>
      </w:r>
    </w:p>
    <w:p>
      <w:pPr>
        <w:pStyle w:val="ListParagraph"/>
        <w:numPr>
          <w:ilvl w:val="0"/>
          <w:numId w:val="1"/>
        </w:numPr>
        <w:spacing w:after="60"/>
      </w:pPr>
      <w:r>
        <w:t xml:space="preserve">Valuation has fully round-tripped: price ~Rs 542 near all-time highs, ~107x P/E, market cap ~Rs 7,174 Cr (vs Rs 6,603 Cr in the prior write-up)</w:t>
      </w:r>
    </w:p>
    <w:p>
      <w:pPr>
        <w:pStyle w:val="ListParagraph"/>
        <w:numPr>
          <w:ilvl w:val="0"/>
          <w:numId w:val="1"/>
        </w:numPr>
        <w:spacing w:after="60"/>
      </w:pPr>
      <w:r>
        <w:t xml:space="preserve">FCF still negative through FY26; cash conversion is the metric to watch as capex tapers</w:t>
      </w:r>
    </w:p>
    <w:p>
      <w:pPr>
        <w:spacing w:after="120"/>
      </w:pPr>
      <w:r>
        <w:rPr>
          <w:b/>
          <w:bCs/>
          <w:sz w:val="20"/>
          <w:szCs w:val="20"/>
        </w:rPr>
        <w:t xml:space="preserve">Open questions / what to watch:</w:t>
      </w:r>
    </w:p>
    <w:p>
      <w:pPr>
        <w:pStyle w:val="ListParagraph"/>
        <w:numPr>
          <w:ilvl w:val="0"/>
          <w:numId w:val="1"/>
        </w:numPr>
        <w:spacing w:after="60"/>
      </w:pPr>
      <w:r>
        <w:t xml:space="preserve">Will the 15,000-unit skid line actually commission by Oct-Nov 2026, or slip again?</w:t>
      </w:r>
    </w:p>
    <w:p>
      <w:pPr>
        <w:pStyle w:val="ListParagraph"/>
        <w:numPr>
          <w:ilvl w:val="0"/>
          <w:numId w:val="1"/>
        </w:numPr>
        <w:spacing w:after="60"/>
      </w:pPr>
      <w:r>
        <w:t xml:space="preserve">Can FY27/FY28 FCF turn clearly positive as the capex cycle ends, and does working capital normalise?</w:t>
      </w:r>
    </w:p>
    <w:p>
      <w:pPr>
        <w:pStyle w:val="ListParagraph"/>
        <w:numPr>
          <w:ilvl w:val="0"/>
          <w:numId w:val="1"/>
        </w:numPr>
        <w:spacing w:after="60"/>
      </w:pPr>
      <w:r>
        <w:t xml:space="preserve">How large and how firm is the international (Europe/US) order pipeline management keeps referencing without specifics?</w:t>
      </w:r>
    </w:p>
    <w:p>
      <w:pPr>
        <w:pStyle w:val="ListParagraph"/>
        <w:numPr>
          <w:ilvl w:val="0"/>
          <w:numId w:val="1"/>
        </w:numPr>
        <w:spacing w:after="60"/>
      </w:pPr>
      <w:r>
        <w:t xml:space="preserve">Does the 25% blended EBITDA-margin target hold as skid mix rises, given skid margins (22-26%) sit only modestly above hoses?</w:t>
      </w:r>
    </w:p>
    <w:p>
      <w:pPr>
        <w:spacing w:after="120" w:before="120"/>
      </w:pPr>
      <w:r>
        <w:rPr>
          <w:b/>
          <w:bCs/>
          <w:sz w:val="20"/>
          <w:szCs w:val="20"/>
        </w:rPr>
        <w:t xml:space="preserve">Conviction impact: </w:t>
      </w:r>
      <w:r>
        <w:rPr>
          <w:sz w:val="20"/>
          <w:szCs w:val="20"/>
        </w:rPr>
        <w:t xml:space="preserve">High -&gt; Medium-High. The filings materially improved the fundamental picture (real ~19% ROCE, a confirmed Q1 FY27 inflection, debt-free self-funded ramp) and a core-trusted investor holds it as his primary position - but ~107x trailing earnings at ~Rs 7,174 Cr market cap leaves almost no margin of safety and makes a literal 2-3yr 10x unlikely, so conviction is trimmed one notch rather than raised.</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Liquid-cooling skids for AI data centres via exclusive Vertiv India partnership</w:t>
            </w:r>
          </w:p>
        </w:tc>
        <w:tc>
          <w:tcPr>
            <w:tcW w:type="dxa" w:w="2400"/>
          </w:tcPr>
          <w:p>
            <w:r>
              <w:rPr>
                <w:b w:val="false"/>
                <w:bCs w:val="false"/>
                <w:sz w:val="18"/>
                <w:szCs w:val="18"/>
              </w:rPr>
              <w:t xml:space="preserve">617 units / ~Rs 21-32 Cr in ~4 months; skids ~23% of Q1 FY27 revenue; ~Rs 150-200 Cr targeted by FY28</w:t>
            </w:r>
          </w:p>
        </w:tc>
        <w:tc>
          <w:tcPr>
            <w:tcW w:type="dxa" w:w="900"/>
          </w:tcPr>
          <w:p>
            <w:r>
              <w:rPr>
                <w:b w:val="false"/>
                <w:bCs w:val="false"/>
                <w:sz w:val="18"/>
                <w:szCs w:val="18"/>
              </w:rPr>
              <w:t xml:space="preserve">FY28</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Skid assembly capacity 9,000 -&gt; 15,000 units by Q3 FY27</w:t>
            </w:r>
          </w:p>
        </w:tc>
        <w:tc>
          <w:tcPr>
            <w:tcW w:type="dxa" w:w="2400"/>
          </w:tcPr>
          <w:p>
            <w:r>
              <w:rPr>
                <w:b w:val="false"/>
                <w:bCs w:val="false"/>
                <w:sz w:val="18"/>
                <w:szCs w:val="18"/>
              </w:rPr>
              <w:t xml:space="preserve">Rs 48 Cr capex; 6,000-&gt;9,000 done; 15,000 by Oct-Nov 2026 (slipped from Jun 2026)</w:t>
            </w:r>
          </w:p>
        </w:tc>
        <w:tc>
          <w:tcPr>
            <w:tcW w:type="dxa" w:w="900"/>
          </w:tcPr>
          <w:p>
            <w:r>
              <w:rPr>
                <w:b w:val="false"/>
                <w:bCs w:val="false"/>
                <w:sz w:val="18"/>
                <w:szCs w:val="18"/>
              </w:rPr>
              <w:t xml:space="preserve">6M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revenue growth guidance 30-35% reaffirmed</w:t>
            </w:r>
          </w:p>
        </w:tc>
        <w:tc>
          <w:tcPr>
            <w:tcW w:type="dxa" w:w="2400"/>
          </w:tcPr>
          <w:p>
            <w:r>
              <w:rPr>
                <w:b w:val="false"/>
                <w:bCs w:val="false"/>
                <w:sz w:val="18"/>
                <w:szCs w:val="18"/>
              </w:rPr>
              <w:t xml:space="preserve">Q1 FY27 already +72% YoY; FY26 base Rs 442 Cr</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Flexible-hose base business scaling, Rs 650-675 Cr potential</w:t>
            </w:r>
          </w:p>
        </w:tc>
        <w:tc>
          <w:tcPr>
            <w:tcW w:type="dxa" w:w="2400"/>
          </w:tcPr>
          <w:p>
            <w:r>
              <w:rPr>
                <w:b w:val="false"/>
                <w:bCs w:val="false"/>
                <w:sz w:val="18"/>
                <w:szCs w:val="18"/>
              </w:rPr>
              <w:t xml:space="preserve">+41% YoY in Q1 FY27; exports +43% YoY</w:t>
            </w:r>
          </w:p>
        </w:tc>
        <w:tc>
          <w:tcPr>
            <w:tcW w:type="dxa" w:w="900"/>
          </w:tcPr>
          <w:p>
            <w:r>
              <w:rPr>
                <w:b w:val="false"/>
                <w:bCs w:val="false"/>
                <w:sz w:val="18"/>
                <w:szCs w:val="18"/>
              </w:rPr>
              <w:t xml:space="preserve">FY28</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EBITDA margin toward 25% over the next few years on assembly mix shift</w:t>
            </w:r>
          </w:p>
        </w:tc>
        <w:tc>
          <w:tcPr>
            <w:tcW w:type="dxa" w:w="2400"/>
          </w:tcPr>
          <w:p>
            <w:r>
              <w:rPr>
                <w:b w:val="false"/>
                <w:bCs w:val="false"/>
                <w:sz w:val="18"/>
                <w:szCs w:val="18"/>
              </w:rPr>
              <w:t xml:space="preserve">current ~23-24%</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Rs 1,000+ Cr revenue by FY29 at 23-25% EBITDA margin</w:t>
            </w:r>
          </w:p>
        </w:tc>
        <w:tc>
          <w:tcPr>
            <w:tcW w:type="dxa" w:w="2400"/>
          </w:tcPr>
          <w:p>
            <w:r>
              <w:rPr>
                <w:b w:val="false"/>
                <w:bCs w:val="false"/>
                <w:sz w:val="18"/>
                <w:szCs w:val="18"/>
              </w:rPr>
              <w:t xml:space="preserv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Vertiv skid orders</w:t>
      </w:r>
      <w:r>
        <w:rPr>
          <w:color w:val="666666"/>
          <w:sz w:val="20"/>
          <w:szCs w:val="20"/>
        </w:rPr>
        <w:t xml:space="preserve"> → </w:t>
      </w:r>
      <w:r>
        <w:rPr>
          <w:b/>
          <w:bCs/>
          <w:color w:val="A32020"/>
          <w:sz w:val="20"/>
          <w:szCs w:val="20"/>
        </w:rPr>
        <w:t xml:space="preserve">skid capacity ramp (15,000 units, ~60-70% util FY27)</w:t>
      </w:r>
      <w:r>
        <w:rPr>
          <w:color w:val="666666"/>
          <w:sz w:val="20"/>
          <w:szCs w:val="20"/>
        </w:rPr>
        <w:t xml:space="preserve"> → </w:t>
      </w:r>
      <w:r>
        <w:rPr>
          <w:b w:val="false"/>
          <w:bCs w:val="false"/>
          <w:sz w:val="20"/>
          <w:szCs w:val="20"/>
        </w:rPr>
        <w:t xml:space="preserve">revenue growth 30-35%</w:t>
      </w:r>
      <w:r>
        <w:rPr>
          <w:color w:val="666666"/>
          <w:sz w:val="20"/>
          <w:szCs w:val="20"/>
        </w:rPr>
        <w:t xml:space="preserve"> → </w:t>
      </w:r>
      <w:r>
        <w:rPr>
          <w:b w:val="false"/>
          <w:bCs w:val="false"/>
          <w:sz w:val="20"/>
          <w:szCs w:val="20"/>
        </w:rPr>
        <w:t xml:space="preserve">mix shift to assemblies</w:t>
      </w:r>
      <w:r>
        <w:rPr>
          <w:color w:val="666666"/>
          <w:sz w:val="20"/>
          <w:szCs w:val="20"/>
        </w:rPr>
        <w:t xml:space="preserve"> → </w:t>
      </w:r>
      <w:r>
        <w:rPr>
          <w:b w:val="false"/>
          <w:bCs w:val="false"/>
          <w:sz w:val="20"/>
          <w:szCs w:val="20"/>
        </w:rPr>
        <w:t xml:space="preserve">EBITDA margin toward 25%</w:t>
      </w:r>
      <w:r>
        <w:rPr>
          <w:color w:val="666666"/>
          <w:sz w:val="20"/>
          <w:szCs w:val="20"/>
        </w:rPr>
        <w:t xml:space="preserve"> → </w:t>
      </w:r>
      <w:r>
        <w:rPr>
          <w:b w:val="false"/>
          <w:bCs w:val="false"/>
          <w:sz w:val="20"/>
          <w:szCs w:val="20"/>
        </w:rPr>
        <w:t xml:space="preserve">PAT / FCF</w:t>
      </w:r>
    </w:p>
    <w:p>
      <w:pPr>
        <w:spacing w:after="120"/>
      </w:pPr>
      <w:r>
        <w:rPr>
          <w:color w:val="666666"/>
          <w:sz w:val="18"/>
          <w:szCs w:val="18"/>
        </w:rPr>
        <w:t xml:space="preserve">Bottleneck link: skid capacity ramp (15,000 units, ~60-70% util FY27).</w:t>
      </w:r>
    </w:p>
    <w:p>
      <w:pPr>
        <w:spacing w:after="120"/>
      </w:pPr>
      <w:r>
        <w:rPr>
          <w:color w:val="666666"/>
          <w:sz w:val="18"/>
          <w:szCs w:val="18"/>
        </w:rPr>
        <w:t xml:space="preserve">Operating leverage: yes - margin guided from ~23% toward 25% on assembly mix; but FY26 PAT grew only 6% vs 26% EBITDA on depreciation/tax drag and FCF was negative, so leverage below the EBITDA line still has to prove out</w:t>
      </w:r>
    </w:p>
    <w:p>
      <w:pPr>
        <w:spacing w:after="120"/>
      </w:pPr>
      <w:r>
        <w:rPr>
          <w:color w:val="666666"/>
          <w:sz w:val="18"/>
          <w:szCs w:val="18"/>
        </w:rPr>
        <w:t xml:space="preserve">Evidenced: Vertiv skid orders; skid capacity ramp (15,000 units, ~60-70% util FY27); revenue growth 30-35%. Still assumed: mix shift to assemblies; EBITDA margin toward 25%; PAT / FCF.</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2026-08-30</w:t>
            </w:r>
          </w:p>
        </w:tc>
      </w:tr>
      <w:tr>
        <w:tc>
          <w:tcPr>
            <w:tcW w:type="dxa" w:w="3200"/>
            <w:shd w:fill="F2F2F2" w:val="clear"/>
          </w:tcPr>
          <w:p>
            <w:r>
              <w:rPr>
                <w:b/>
                <w:bCs/>
              </w:rPr>
              <w:t xml:space="preserve">Price / multiple</w:t>
            </w:r>
          </w:p>
        </w:tc>
        <w:tc>
          <w:tcPr>
            <w:tcW w:type="dxa" w:w="5800"/>
          </w:tcPr>
          <w:p>
            <w:r>
              <w:t xml:space="preserve">Rs 542 · 107x P/E · 58x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~107x trailing P/E embeds ~60%+ EPS CAGR sustained for several years even against a generous ~40-45x exit multiple; management's own FY29 Rs 1,000 Cr / 25%-margin target implies ~Rs 150-180 Cr PAT, still ~40x on today's market cap</w:t>
            </w:r>
          </w:p>
        </w:tc>
      </w:tr>
      <w:tr>
        <w:tc>
          <w:tcPr>
            <w:tcW w:type="dxa" w:w="3200"/>
            <w:shd w:fill="F2F2F2" w:val="clear"/>
          </w:tcPr>
          <w:p>
            <w:r>
              <w:rPr>
                <w:b/>
                <w:bCs/>
              </w:rPr>
              <w:t xml:space="preserve">Our FY27</w:t>
            </w:r>
          </w:p>
        </w:tc>
        <w:tc>
          <w:tcPr>
            <w:tcW w:type="dxa" w:w="5800"/>
          </w:tcPr>
          <w:p>
            <w:r>
              <w:t xml:space="preserve">Revenue +30-40% (~Rs 580-620 Cr), EBITDA margin ~23-24%, PAT +40-50% as depreciation drag eases</w:t>
            </w:r>
          </w:p>
        </w:tc>
      </w:tr>
      <w:tr>
        <w:tc>
          <w:tcPr>
            <w:tcW w:type="dxa" w:w="3200"/>
            <w:shd w:fill="F2F2F2" w:val="clear"/>
          </w:tcPr>
          <w:p>
            <w:r>
              <w:rPr>
                <w:b/>
                <w:bCs/>
              </w:rPr>
              <w:t xml:space="preserve">Our FY28</w:t>
            </w:r>
          </w:p>
        </w:tc>
        <w:tc>
          <w:tcPr>
            <w:tcW w:type="dxa" w:w="5800"/>
          </w:tcPr>
          <w:p>
            <w:r>
              <w:t xml:space="preserve">Skid revenue ~Rs 150-200 Cr, total ~Rs 750-850 Cr at ~24% margin</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duration</w:t>
            </w:r>
          </w:p>
        </w:tc>
      </w:tr>
      <w:tr>
        <w:tc>
          <w:tcPr>
            <w:tcW w:type="dxa" w:w="3200"/>
            <w:shd w:fill="F2F2F2" w:val="clear"/>
          </w:tcPr>
          <w:p>
            <w:r>
              <w:rPr>
                <w:b/>
                <w:bCs/>
              </w:rPr>
              <w:t xml:space="preserve">Gap magnitude</w:t>
            </w:r>
          </w:p>
        </w:tc>
        <w:tc>
          <w:tcPr>
            <w:tcW w:type="dxa" w:w="5800"/>
          </w:tcPr>
          <w:p>
            <w:r>
              <w:t xml:space="preserve">-30% (our FY28 PAT vs implied)</w:t>
            </w:r>
          </w:p>
        </w:tc>
      </w:tr>
      <w:tr>
        <w:tc>
          <w:tcPr>
            <w:tcW w:type="dxa" w:w="3200"/>
            <w:shd w:fill="F2F2F2" w:val="clear"/>
          </w:tcPr>
          <w:p>
            <w:r>
              <w:rPr>
                <w:b/>
                <w:bCs/>
              </w:rPr>
              <w:t xml:space="preserve">Gap basis</w:t>
            </w:r>
          </w:p>
        </w:tc>
        <w:tc>
          <w:tcPr>
            <w:tcW w:type="dxa" w:w="5800"/>
          </w:tcPr>
          <w:p>
            <w:r>
              <w:t xml:space="preserve">business is executing (Q1 FY27 revenue +72%, skids 23% of revenue) but at ~107x trailing P/E the price requires ~60%+ EPS CAGR for years; our realistic ~30-40% growth path sits below what the multiple needs - no valuation edge</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15,000-unit skid capacity commissioning (Oct-Nov 2026) + Q3/Q4 FY27 prints showing skid utilisation 60-70% and margin toward 25%</w:t>
      </w:r>
      <w:r>
        <w:rPr>
          <w:color w:val="666666"/>
          <w:sz w:val="18"/>
          <w:szCs w:val="18"/>
        </w:rPr>
        <w:t xml:space="preserve"> (window ~6M from 2026-08-30; dated; evidence high; pending)</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60" w:before="120"/>
      </w:pPr>
      <w:r>
        <w:rPr>
          <w:b/>
          <w:bCs/>
          <w:sz w:val="20"/>
          <w:szCs w:val="20"/>
        </w:rPr>
        <w:t xml:space="preserve">Global-signal check: </w:t>
      </w:r>
      <w:r>
        <w:rPr>
          <w:b w:val="false"/>
          <w:bCs w:val="false"/>
          <w:color w:val="1E7A34"/>
          <w:sz w:val="20"/>
          <w:szCs w:val="20"/>
        </w:rPr>
        <w:t xml:space="preserve">Indian-name alignment with the Data-centre power distribution &amp; thermal (liquid cooling) tailwind is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Bellwether / theme</w:t>
            </w:r>
          </w:p>
        </w:tc>
        <w:tc>
          <w:tcPr>
            <w:tcW w:type="dxa" w:w="5800"/>
          </w:tcPr>
          <w:p>
            <w:r>
              <w:t xml:space="preserve">Vertiv — Data-centre power distribution &amp; thermal (liquid cooling)</w:t>
            </w:r>
          </w:p>
        </w:tc>
      </w:tr>
      <w:tr>
        <w:tc>
          <w:tcPr>
            <w:tcW w:type="dxa" w:w="3200"/>
            <w:shd w:fill="F2F2F2" w:val="clear"/>
          </w:tcPr>
          <w:p>
            <w:r>
              <w:rPr>
                <w:b/>
                <w:bCs/>
              </w:rPr>
              <w:t xml:space="preserve">Global tailwind</w:t>
            </w:r>
          </w:p>
        </w:tc>
        <w:tc>
          <w:tcPr>
            <w:tcW w:type="dxa" w:w="5800"/>
          </w:tcPr>
          <w:p>
            <w:r>
              <w:t xml:space="preserve">accelerating</w:t>
            </w:r>
          </w:p>
        </w:tc>
      </w:tr>
      <w:tr>
        <w:tc>
          <w:tcPr>
            <w:tcW w:type="dxa" w:w="3200"/>
            <w:shd w:fill="F2F2F2" w:val="clear"/>
          </w:tcPr>
          <w:p>
            <w:r>
              <w:rPr>
                <w:b/>
                <w:bCs/>
              </w:rPr>
              <w:t xml:space="preserve">Signal looked for</w:t>
            </w:r>
          </w:p>
        </w:tc>
        <w:tc>
          <w:tcPr>
            <w:tcW w:type="dxa" w:w="5800"/>
          </w:tcPr>
          <w:p>
            <w:r>
              <w:t xml:space="preserve">DC / liquid-cooling named as an explicit, quantified demand driver in the order book, with dedicated capacity being added</w:t>
            </w:r>
          </w:p>
        </w:tc>
      </w:tr>
      <w:tr>
        <w:tc>
          <w:tcPr>
            <w:tcW w:type="dxa" w:w="3200"/>
            <w:shd w:fill="F2F2F2" w:val="clear"/>
          </w:tcPr>
          <w:p>
            <w:r>
              <w:rPr>
                <w:b/>
                <w:bCs/>
              </w:rPr>
              <w:t xml:space="preserve">Found in the Indian name</w:t>
            </w:r>
          </w:p>
        </w:tc>
        <w:tc>
          <w:tcPr>
            <w:tcW w:type="dxa" w:w="5800"/>
          </w:tcPr>
          <w:p>
            <w:r>
              <w:t xml:space="preserve">Q1FY27 consol rev Rs146cr (+73% YoY, from Rs84cr); liquid-cooling SFN skid revenue Rs32.4cr = 22.2% of consolidated revenue (up from Rs18.9cr in Q4FY26), 1,040 units; SFN skid capacity raised 50% to 9,000 units/yr from 1-Jul-2026; signed a multi-year LTA with a listed US corporation (~US$141bn market cap) to supply DC liquid-cooling flow-control components, with major orders already received under it; FY27 revenue-growth guidance 30-35% 'led by data centers'.</w:t>
            </w:r>
          </w:p>
        </w:tc>
      </w:tr>
      <w:tr>
        <w:tc>
          <w:tcPr>
            <w:tcW w:type="dxa" w:w="3200"/>
            <w:shd w:fill="F2F2F2" w:val="clear"/>
          </w:tcPr>
          <w:p>
            <w:r>
              <w:rPr>
                <w:b/>
                <w:bCs/>
              </w:rPr>
              <w:t xml:space="preserve">Checked on</w:t>
            </w:r>
          </w:p>
        </w:tc>
        <w:tc>
          <w:tcPr>
            <w:tcW w:type="dxa" w:w="5800"/>
          </w:tcPr>
          <w:p>
            <w:r>
              <w:t xml:space="preserve">2026-09-02</w:t>
            </w:r>
          </w:p>
        </w:tc>
      </w:tr>
    </w:tbl>
    <w:p>
      <w:pPr>
        <w:spacing w:after="120"/>
      </w:pPr>
      <w:r>
        <w:rPr>
          <w:color w:val="666666"/>
          <w:sz w:val="18"/>
          <w:szCs w:val="18"/>
        </w:rPr>
        <w:t xml:space="preserve">Direct same-signal match to Vertiv's liquid-cooling tailwind: DC/liquid-cooling is now a named, quantified (22% of revenue) and fastest-growing line, with a dedicated 50% capacity add and a named large-customer multi-year agreement.</w:t>
      </w:r>
    </w:p>
    <w:p>
      <w:pPr>
        <w:pStyle w:val="Heading1"/>
        <w:spacing w:after="120" w:before="280"/>
      </w:pPr>
      <w:r>
        <w:t xml:space="preserve">Technical Read (Weekly / Monthly MACD + Bollinger Bands, or RSI/CCI/Williams %R proxy)</w:t>
      </w:r>
    </w:p>
    <w:p>
      <w:pPr>
        <w:spacing w:after="120"/>
      </w:pPr>
      <w:r>
        <w:t xml:space="preserve">Stock has fully recovered from its Rs 158 low and is trading at/near all-time highs (~Rs 542 on 29-Aug-2026, +218% in a year). The earlier drawdown to Rs 158 has reversed on the confirmed skid ramp; the risk now is a high-multiple name giving back gains on any execution slip, not a broken chart.</w:t>
      </w:r>
    </w:p>
    <w:p>
      <w:pPr>
        <w:pStyle w:val="Heading1"/>
        <w:spacing w:after="120" w:before="280"/>
      </w:pPr>
      <w:r>
        <w:t xml:space="preserve">ValuePickr Community Signal</w:t>
      </w:r>
    </w:p>
    <w:p>
      <w:pPr>
        <w:spacing w:after="120"/>
      </w:pPr>
      <w:r>
        <w:t xml:space="preserve">Read the full 57-post thread (single batch, no escalation needed - thread fits under 50-post cap plus a handful more) spanning April 2025 to August 2026. Sentiment arc: early bullishness on the liquid-cooling pivot and Kacholia stake increase (Dec 2025-May 2026), a valuation-caution note at the peak of the re-rating (April-June 2026), then a detailed community TAM-sizing debate (July-Aug 2026) that converged on a more conservative, still-large opportunity after two posters (Neophyte, sumit680) worked through and corrected each other's skid/MW math live in the thread - a healthy sign of rigorous, self-correcting community analysis rather than one-way hype.</w:t>
      </w:r>
    </w:p>
    <w:p>
      <w:pPr>
        <w:spacing w:after="120"/>
      </w:pPr>
      <w:r>
        <w:rPr>
          <w:b/>
          <w:bCs/>
          <w:sz w:val="20"/>
          <w:szCs w:val="20"/>
        </w:rPr>
        <w:t xml:space="preserve">High-conviction call from a top contributor: </w:t>
      </w:r>
      <w:r>
        <w:rPr>
          <w:sz w:val="20"/>
          <w:szCs w:val="20"/>
        </w:rPr>
        <w:t xml:space="preserve">karanshah137 (trusted-roster, 8 posts across the thread, cumulative loves in double digits) was the most consistent tracker, moving from bullish concall summaries (Dec 2025-May 2026) to an explicit valuation caution in April 2026 ('HIGH-GROWTH STORY WITH LIMITED ROOM FOR ERROR NOW... limited margin of safety if execution deviates'), disclosed as invested with only a small tracking position - itself a signal of hedged conviction. sumit680 and Neophyte ran a detailed, mutually self-correcting TAM calculation (Aug 2026) refining the skids-per-MW assumption and narrowing the addressable opportunity to a still-large but more realistic figure.</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2026-09-01 — phreakv6</w:t>
      </w:r>
      <w:r>
        <w:rPr>
          <w:i/>
          <w:iCs/>
          <w:color w:val="666666"/>
          <w:sz w:val="18"/>
          <w:szCs w:val="18"/>
        </w:rPr>
        <w:t xml:space="preserve"> (Phreak's Thoughts, Ideas and Opinions)</w:t>
      </w:r>
      <w:r>
        <w:rPr>
          <w:sz w:val="20"/>
          <w:szCs w:val="20"/>
        </w:rPr>
        <w:br/>
        <w:t xml:space="preserve">: post #330 (love=83), process-explainer post: "when I came across two ideas Aeroflex and Mtar ... which convinced me I had to bet big on these things" + "I have no fresh ideas and have mostly remained invested in same businesses. Most are at ATHs". Core-tier reaffirmation of Aeroflex as a big bet still held (narrative recap of the Feb sizing decision, not a fresh %-weight disclosure). 2nd+ qualifying mention -&gt; very-high; core-tier + within 60 days -&gt; floor_active=true.</w:t>
      </w:r>
    </w:p>
    <w:p>
      <w:pPr>
        <w:spacing w:after="100"/>
      </w:pPr>
      <w:r>
        <w:rPr>
          <w:b/>
          <w:bCs/>
          <w:sz w:val="20"/>
          <w:szCs w:val="20"/>
        </w:rPr>
        <w:t xml:space="preserve">2026-08-22 — joinjp2003</w:t>
      </w:r>
      <w:r>
        <w:rPr>
          <w:i/>
          <w:iCs/>
          <w:color w:val="666666"/>
          <w:sz w:val="18"/>
          <w:szCs w:val="18"/>
        </w:rPr>
        <w:t xml:space="preserve"> (My portfolio updates and investment journey)</w:t>
      </w:r>
      <w:r>
        <w:rPr>
          <w:sz w:val="20"/>
          <w:szCs w:val="20"/>
        </w:rPr>
        <w:br/>
        <w:t xml:space="preserve">: post #254: bought at reasonable levels in Jan-Mar dip; post #258: named among stocks that "became anchor of my portfolio performance" this quarter - independent corroboration of phreakv6's primary-holding call.</w:t>
      </w:r>
    </w:p>
    <w:p>
      <w:pPr>
        <w:spacing w:after="100"/>
      </w:pPr>
      <w:r>
        <w:rPr>
          <w:b/>
          <w:bCs/>
          <w:sz w:val="20"/>
          <w:szCs w:val="20"/>
        </w:rPr>
        <w:t xml:space="preserve">2026-08-22 — phreakv6</w:t>
      </w:r>
      <w:r>
        <w:rPr>
          <w:i/>
          <w:iCs/>
          <w:color w:val="666666"/>
          <w:sz w:val="18"/>
          <w:szCs w:val="18"/>
        </w:rPr>
        <w:t xml:space="preserve"> (Phreak's Thoughts, Ideas and Opinions)</w:t>
      </w:r>
      <w:r>
        <w:rPr>
          <w:sz w:val="20"/>
          <w:szCs w:val="20"/>
        </w:rPr>
        <w:br/>
        <w:t xml:space="preserve">: "primary holding is still Aeroflex Industries" (post #308) - already logged in state.json/users.json from prior session tagging; this remains his largest single conviction call in the entire batch of 15 stocks reviewed.</w:t>
      </w:r>
    </w:p>
    <w:p>
      <w:pPr>
        <w:pStyle w:val="Heading1"/>
        <w:spacing w:after="120" w:before="280"/>
      </w:pPr>
      <w:r>
        <w:t xml:space="preserve">BSE Corporate Actions / Other Red Flags</w:t>
      </w:r>
    </w:p>
    <w:p>
      <w:pPr>
        <w:spacing w:after="120"/>
      </w:pPr>
      <w:r>
        <w:t xml:space="preserve">Checked Dec 2025 - Aug 2026: Rs 55 Cr preferential issue approved/allotted Feb 2026 at Rs 182.70/sh (Kacholia allotted ~4.1 lakh shares); board approval for skid capacity expansion to 15,000 units/yr; GST demand order Rs 7.19 Cr received (contested); analyst/investor meets May &amp; Aug 2026. No pledge, no rating action, no adverse regulatory order found.</w:t>
      </w:r>
    </w:p>
    <w:p>
      <w:pPr>
        <w:pStyle w:val="Heading1"/>
        <w:spacing w:after="120" w:before="280"/>
      </w:pPr>
      <w:r>
        <w:t xml:space="preserve">Bull Case</w:t>
      </w:r>
    </w:p>
    <w:p>
      <w:pPr>
        <w:pStyle w:val="ListParagraph"/>
        <w:numPr>
          <w:ilvl w:val="0"/>
          <w:numId w:val="1"/>
        </w:numPr>
        <w:spacing w:after="60"/>
      </w:pPr>
      <w:r>
        <w:t xml:space="preserve">phreakv6 (trusted, core-tier, extensively researched across Sai/Aeroflex/MTAR/TD Power as his top-4 portfolio) names this his single primary holding - the strongest individual conviction signal across this entire 15-stock batch</w:t>
      </w:r>
    </w:p>
    <w:p>
      <w:pPr>
        <w:pStyle w:val="ListParagraph"/>
        <w:numPr>
          <w:ilvl w:val="0"/>
          <w:numId w:val="1"/>
        </w:numPr>
        <w:spacing w:after="60"/>
      </w:pPr>
      <w:r>
        <w:t xml:space="preserve">Q1 FY27 confirmed the inflection: revenue +72% YoY, EBITDA margin 23.0%, PAT +162%, skids already 23% of revenue - the ramp is showing up in the numbers, not just the narrative</w:t>
      </w:r>
    </w:p>
    <w:p>
      <w:pPr>
        <w:pStyle w:val="ListParagraph"/>
        <w:numPr>
          <w:ilvl w:val="0"/>
          <w:numId w:val="1"/>
        </w:numPr>
        <w:spacing w:after="60"/>
      </w:pPr>
      <w:r>
        <w:t xml:space="preserve">Genuine pivot into AI data-center liquid cooling designed with Vertiv (management claims exclusive India partner for these skids); first commercial dispatches done in FY26</w:t>
      </w:r>
    </w:p>
    <w:p>
      <w:pPr>
        <w:pStyle w:val="ListParagraph"/>
        <w:numPr>
          <w:ilvl w:val="0"/>
          <w:numId w:val="1"/>
        </w:numPr>
        <w:spacing w:after="60"/>
      </w:pPr>
      <w:r>
        <w:t xml:space="preserve">Profitability is fine, not broken - FY26 ROCE ~18.9%, margins expanding 156 bps to 22.6%; the prior '1.09% ROCE' was a data error</w:t>
      </w:r>
    </w:p>
    <w:p>
      <w:pPr>
        <w:pStyle w:val="ListParagraph"/>
        <w:numPr>
          <w:ilvl w:val="0"/>
          <w:numId w:val="1"/>
        </w:numPr>
        <w:spacing w:after="60"/>
      </w:pPr>
      <w:r>
        <w:t xml:space="preserve">Debt-free, self-funding expansion (Rs 55 Cr preferential issue Feb 2026 + internal accruals); flexible-hose base business itself grew 41% YoY in Q1 FY27 with Rs 650-675 Cr peak-revenue potential</w:t>
      </w:r>
    </w:p>
    <w:p>
      <w:pPr>
        <w:pStyle w:val="ListParagraph"/>
        <w:numPr>
          <w:ilvl w:val="0"/>
          <w:numId w:val="1"/>
        </w:numPr>
        <w:spacing w:after="60"/>
      </w:pPr>
      <w:r>
        <w:t xml:space="preserve">Optionality from fire-hose assemblies (commercialising Q2/Q3 FY27) and an international (Europe/US) push management calls 'multi-fold compared to India'</w:t>
      </w:r>
    </w:p>
    <w:p>
      <w:pPr>
        <w:pStyle w:val="Heading1"/>
        <w:spacing w:after="120" w:before="280"/>
      </w:pPr>
      <w:r>
        <w:t xml:space="preserve">Bear Case / Key Risks</w:t>
      </w:r>
    </w:p>
    <w:p>
      <w:pPr>
        <w:pStyle w:val="ListParagraph"/>
        <w:numPr>
          <w:ilvl w:val="0"/>
          <w:numId w:val="1"/>
        </w:numPr>
        <w:spacing w:after="60"/>
      </w:pPr>
      <w:r>
        <w:t xml:space="preserve">Valuation is the core risk: ~107x trailing P/E at ~Rs 7,174 Cr market cap - the stock has round-tripped from Rs 158 back to new highs and is again priced for years of flawless execution</w:t>
      </w:r>
    </w:p>
    <w:p>
      <w:pPr>
        <w:pStyle w:val="ListParagraph"/>
        <w:numPr>
          <w:ilvl w:val="0"/>
          <w:numId w:val="1"/>
        </w:numPr>
        <w:spacing w:after="60"/>
      </w:pPr>
      <w:r>
        <w:t xml:space="preserve">15,000-unit skid capacity slipped from June 2026 to Oct-Nov 2026 (external machine-supplier dependency) - a concrete, if modest, execution slip already on the record</w:t>
      </w:r>
    </w:p>
    <w:p>
      <w:pPr>
        <w:pStyle w:val="ListParagraph"/>
        <w:numPr>
          <w:ilvl w:val="0"/>
          <w:numId w:val="1"/>
        </w:numPr>
        <w:spacing w:after="60"/>
      </w:pPr>
      <w:r>
        <w:t xml:space="preserve">FY26 PAT grew only 6% despite 26% EBITDA growth (depreciation/tax drag), and FCF was negative in FY25 (-Rs 78 Cr) and FY26 (-Rs 5 Cr) on the capex/working-capital build - cash conversion still has to prove out</w:t>
      </w:r>
    </w:p>
    <w:p>
      <w:pPr>
        <w:pStyle w:val="ListParagraph"/>
        <w:numPr>
          <w:ilvl w:val="0"/>
          <w:numId w:val="1"/>
        </w:numPr>
        <w:spacing w:after="60"/>
      </w:pPr>
      <w:r>
        <w:t xml:space="preserve">Skid economics are gated by Vertiv's own data-center share and by hyperscaler capex staying strong; a single large downstream customer concentrates the opportunity</w:t>
      </w:r>
    </w:p>
    <w:p>
      <w:pPr>
        <w:pStyle w:val="ListParagraph"/>
        <w:numPr>
          <w:ilvl w:val="0"/>
          <w:numId w:val="1"/>
        </w:numPr>
        <w:spacing w:after="60"/>
      </w:pPr>
      <w:r>
        <w:t xml:space="preserve">At ~Rs 7,000 Cr market cap a literal 10x in 2-3 years would need ~Rs 70,000 Cr - even management's Rs 1,000 Cr FY29 revenue / 25% margin target does not mathematically support that multiple; the re-rating has largely happened</w:t>
      </w:r>
    </w:p>
    <w:p>
      <w:pPr>
        <w:pStyle w:val="ListParagraph"/>
        <w:numPr>
          <w:ilvl w:val="0"/>
          <w:numId w:val="1"/>
        </w:numPr>
        <w:spacing w:after="60"/>
      </w:pPr>
      <w:r>
        <w:t xml:space="preserve">GST demand order of Rs 7.19 Cr received (contested; immaterial to thesis but noted)</w:t>
      </w:r>
    </w:p>
    <w:p>
      <w:pPr>
        <w:pStyle w:val="Heading1"/>
        <w:spacing w:after="120" w:before="280"/>
      </w:pPr>
      <w:r>
        <w:t xml:space="preserve">Market-Cap Tier (informational — not a gate in this project)</w:t>
      </w:r>
    </w:p>
    <w:p>
      <w:pPr>
        <w:spacing w:after="120"/>
      </w:pPr>
      <w:r>
        <w:rPr>
          <w:b/>
          <w:bCs/>
        </w:rPr>
        <w:t xml:space="preserve">Small/Mid-cap (~Rs 7,174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Real, accelerating AI-cooling ramp confirmed by Q1 FY27 - and a core-trusted investor's primary holding - but ~107x P/E caps the upside</w:t>
      </w:r>
    </w:p>
    <w:p>
      <w:pPr>
        <w:pStyle w:val="ListParagraph"/>
        <w:numPr>
          <w:ilvl w:val="0"/>
          <w:numId w:val="1"/>
        </w:numPr>
        <w:spacing w:after="60"/>
      </w:pPr>
      <w:r>
        <w:t xml:space="preserve">The deep read is net-positive on the business: Q1 FY27 (+72% revenue, 23% EBITDA margin, +162% PAT, skids 23% of mix) confirms the inflection the prior write-up called unproven, and FY26 ROCE ~18.9% shows the '1.09%' figure was simply wrong</w:t>
      </w:r>
    </w:p>
    <w:p>
      <w:pPr>
        <w:pStyle w:val="ListParagraph"/>
        <w:numPr>
          <w:ilvl w:val="0"/>
          <w:numId w:val="1"/>
        </w:numPr>
        <w:spacing w:after="60"/>
      </w:pPr>
      <w:r>
        <w:t xml:space="preserve">phreakv6 (core-tier trusted) holding this as his single primary position, plus a debt-free, self-funded, Vertiv-designed skid ramp, is a genuine and differentiated signal</w:t>
      </w:r>
    </w:p>
    <w:p>
      <w:pPr>
        <w:pStyle w:val="ListParagraph"/>
        <w:numPr>
          <w:ilvl w:val="0"/>
          <w:numId w:val="1"/>
        </w:numPr>
        <w:spacing w:after="60"/>
      </w:pPr>
      <w:r>
        <w:t xml:space="preserve">But valuation has re-rated all the way back: ~107x trailing earnings at ~Rs 7,174 Cr market cap means the known growth is largely in the price; the capacity slip to Oct-Nov 2026 and still-negative FCF are reminders the execution bar is high</w:t>
      </w:r>
    </w:p>
    <w:p>
      <w:pPr>
        <w:pStyle w:val="ListParagraph"/>
        <w:numPr>
          <w:ilvl w:val="0"/>
          <w:numId w:val="1"/>
        </w:numPr>
        <w:spacing w:after="60"/>
      </w:pPr>
      <w:r>
        <w:t xml:space="preserve">Conviction moves High -&gt; Medium-High: business momentum and the trusted-holder signal are strong, but the multiple leaves little margin of safety and makes a literal 2-3yr 10x mathematically unlikely from here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2026-09-02T14:20:10.827Z</dcterms:created>
  <dcterms:modified xsi:type="dcterms:W3CDTF">2026-09-02T14:20:10.832Z</dcterms:modified>
</cp:coreProperties>
</file>

<file path=docProps/custom.xml><?xml version="1.0" encoding="utf-8"?>
<Properties xmlns="http://schemas.openxmlformats.org/officeDocument/2006/custom-properties" xmlns:vt="http://schemas.openxmlformats.org/officeDocument/2006/docPropsVTypes"/>
</file>