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Akums Drugs &amp;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pharma CDMO at ~Rs 12,000 Cr, but with low-teens ROCE, ~10% five-year sales growth and a 14-15% EBITDA-margin ceiling -- only a modest recent pickup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Akums is India's largest pharmaceutical contract development and manufacturing organisation (CDMO), also selling branded and generic formulations and APIs.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11,805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~11% / ~8-10%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4,502 Cr (FY26 ~Rs 4,359 Cr; CDMO ~Rs 3,485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5-yr sales CAGR ~9.9%; Q1 FY27 +13.9%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target</w:t>
            </w:r>
          </w:p>
        </w:tc>
        <w:tc>
          <w:tcPr>
            <w:tcW w:type="dxa" w:w="5800"/>
          </w:tcPr>
          <w:p>
            <w:r>
              <w:t xml:space="preserve">14-15% 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409 - 715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recent quarter improved (~14% revenue growth on CDMO utilisation, API pricing and H2 volume growth of 25%+), but the multi-year record is modest (~10% sales CAGR) and returns are low (ROCE ~11%) with a structural 14-15% EBITDA-margin ceiling. From a ~Rs 12,000 Cr base, that combination does not support a multi-bagger thesis.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filtered on size and quality.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pass. Filtered at the preliminary stage: a ~Rs 12,000 Cr company with low-teens ROCE, modest trailing growth and a capped margin profile shows only a modest recent pickup, not a sharp inflection.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Indian pharma CDMO -- scale, breadth of dosage forms and a long client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Recent-quarter pickup on capacity utilisation and API pricing; H2 volume growth 25%+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CDMO tailwind as pharma outsources more manufacturing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11,800 Cr market cap already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~11%, ROE ~8-10%; 5-yr sales CAGR only ~10%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structurally capped at 14-15%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improvement is modest, not a sharp inflection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11,805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Category leader but low-return, modest-growth and already mid-cap --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plus low ROCE plus a capped margin plus only a modest recent pickup -&gt; 'neither' per the standard filter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conviction Low; no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2026-08-27T16:50:31.132Z</dcterms:created>
  <dcterms:modified xsi:type="dcterms:W3CDTF">2026-08-27T16:50:31.133Z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