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Alembic Pharmaceuticals Ltd</w:t>
      </w:r>
    </w:p>
    <w:p>
      <w:pPr>
        <w:pBdr>
          <w:bottom w:val="single" w:color="CCCCCC" w:sz="6" w:space="8"/>
        </w:pBdr>
        <w:spacing w:after="200"/>
      </w:pPr>
      <w:r>
        <w:rPr>
          <w:i/>
          <w:iCs/>
          <w:color w:val="666666"/>
          <w:sz w:val="22"/>
          <w:szCs w:val="22"/>
        </w:rPr>
        <w:t xml:space="preserve">A mid-cap pharma with a historically cyclical US business now showing a real Q1 FY27 inflection (+49% YoY), on top of a genuinely secular non-US growth engine tracked in exhaustive detail by a trusted user</w:t>
      </w:r>
    </w:p>
    <w:p>
      <w:pPr>
        <w:pStyle w:val="Heading1"/>
        <w:spacing w:after="120" w:before="280"/>
      </w:pPr>
      <w:r>
        <w:t xml:space="preserve">Business Overview</w:t>
      </w:r>
    </w:p>
    <w:p>
      <w:pPr>
        <w:spacing w:after="120"/>
      </w:pPr>
      <w:r>
        <w:t xml:space="preserve">Alembic Pharma spans oral solids, injectables (general and oncology), dermatology, ophthalmology, and API manufacturing across 9 facilities, with a growing domestic branded-generics franchise (5,200+ medical reps, new Gynac/Cardiac divisions), a fast-growing animal healthcare segment (~24% CAGR over recent years), and a US generics business that management itself describes as prone to 'bouts of good growth followed by stagnation.'</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16,346 Cr</w:t>
            </w:r>
          </w:p>
        </w:tc>
      </w:tr>
      <w:tr>
        <w:tc>
          <w:tcPr>
            <w:tcW w:type="dxa" w:w="3200"/>
            <w:shd w:fill="F2F2F2" w:val="clear"/>
          </w:tcPr>
          <w:p>
            <w:r>
              <w:rPr>
                <w:b/>
                <w:bCs/>
              </w:rPr>
              <w:t xml:space="preserve">52-week range</w:t>
            </w:r>
          </w:p>
        </w:tc>
        <w:tc>
          <w:tcPr>
            <w:tcW w:type="dxa" w:w="5800"/>
          </w:tcPr>
          <w:p>
            <w:r>
              <w:t xml:space="preserve">Rs 635.80 - Rs 1,002.00</w:t>
            </w:r>
          </w:p>
        </w:tc>
      </w:tr>
      <w:tr>
        <w:tc>
          <w:tcPr>
            <w:tcW w:type="dxa" w:w="3200"/>
            <w:shd w:fill="F2F2F2" w:val="clear"/>
          </w:tcPr>
          <w:p>
            <w:r>
              <w:rPr>
                <w:b/>
                <w:bCs/>
              </w:rPr>
              <w:t xml:space="preserve">ROE (3-yr)</w:t>
            </w:r>
          </w:p>
        </w:tc>
        <w:tc>
          <w:tcPr>
            <w:tcW w:type="dxa" w:w="5800"/>
          </w:tcPr>
          <w:p>
            <w:r>
              <w:t xml:space="preserve">12.7% (low)</w:t>
            </w:r>
          </w:p>
        </w:tc>
      </w:tr>
      <w:tr>
        <w:tc>
          <w:tcPr>
            <w:tcW w:type="dxa" w:w="3200"/>
            <w:shd w:fill="F2F2F2" w:val="clear"/>
          </w:tcPr>
          <w:p>
            <w:r>
              <w:rPr>
                <w:b/>
                <w:bCs/>
              </w:rPr>
              <w:t xml:space="preserve">ROCE</w:t>
            </w:r>
          </w:p>
        </w:tc>
        <w:tc>
          <w:tcPr>
            <w:tcW w:type="dxa" w:w="5800"/>
          </w:tcPr>
          <w:p>
            <w:r>
              <w:t xml:space="preserve">14.66%</w:t>
            </w:r>
          </w:p>
        </w:tc>
      </w:tr>
      <w:tr>
        <w:tc>
          <w:tcPr>
            <w:tcW w:type="dxa" w:w="3200"/>
            <w:shd w:fill="F2F2F2" w:val="clear"/>
          </w:tcPr>
          <w:p>
            <w:r>
              <w:rPr>
                <w:b/>
                <w:bCs/>
              </w:rPr>
              <w:t xml:space="preserve">Sales growth (5-yr)</w:t>
            </w:r>
          </w:p>
        </w:tc>
        <w:tc>
          <w:tcPr>
            <w:tcW w:type="dxa" w:w="5800"/>
          </w:tcPr>
          <w:p>
            <w:r>
              <w:t xml:space="preserve">6.37% (poor)</w:t>
            </w:r>
          </w:p>
        </w:tc>
      </w:tr>
      <w:tr>
        <w:tc>
          <w:tcPr>
            <w:tcW w:type="dxa" w:w="3200"/>
            <w:shd w:fill="F2F2F2" w:val="clear"/>
          </w:tcPr>
          <w:p>
            <w:r>
              <w:rPr>
                <w:b/>
                <w:bCs/>
              </w:rPr>
              <w:t xml:space="preserve">TTM Revenue</w:t>
            </w:r>
          </w:p>
        </w:tc>
        <w:tc>
          <w:tcPr>
            <w:tcW w:type="dxa" w:w="5800"/>
          </w:tcPr>
          <w:p>
            <w:r>
              <w:t xml:space="preserve">Rs 6,267 Cr</w:t>
            </w:r>
          </w:p>
        </w:tc>
      </w:tr>
      <w:tr>
        <w:tc>
          <w:tcPr>
            <w:tcW w:type="dxa" w:w="3200"/>
            <w:shd w:fill="F2F2F2" w:val="clear"/>
          </w:tcPr>
          <w:p>
            <w:r>
              <w:rPr>
                <w:b/>
                <w:bCs/>
              </w:rPr>
              <w:t xml:space="preserve">Q1 FY27 (Jun 2026)</w:t>
            </w:r>
          </w:p>
        </w:tc>
        <w:tc>
          <w:tcPr>
            <w:tcW w:type="dxa" w:w="5800"/>
          </w:tcPr>
          <w:p>
            <w:r>
              <w:t xml:space="preserve">Revenue +25.66% YoY to Rs 2,150 Cr; PAT +12.01% to Rs 175 Cr; US Formulations +49% YoY (Rs 523 Cr → Rs 778 Cr)</w:t>
            </w:r>
          </w:p>
        </w:tc>
      </w:tr>
    </w:tbl>
    <w:p>
      <w:pPr>
        <w:spacing w:after="100"/>
      </w:pPr>
    </w:p>
    <w:p>
      <w:pPr>
        <w:spacing w:after="120"/>
      </w:pPr>
      <w:r>
        <w:t xml:space="preserve">Trailing quality metrics are moderate rather than exceptional — ROE (12.7% 3-yr) and ROCE (14.66%) both trail peers like Ajanta Pharma in this same batch, and 5-year sales growth has been poor (6.37%), largely reflecting a choppy US business under sustained pricing pressure. However, Q1 FY27 (quarter ended June 2026) shows a real, specific inflection: consolidated revenue +25.66% YoY, EBITDA pre-R&amp;D margin at 24%, and — most notably — the US Formulations segment (the exact segment harsh.beria93's multi-year notes had flagged as 'cyclical/stagnant') surged 49% YoY to Rs 778 Cr, with management upgrading FY27 revenue guidance to mid-teens. This is one quarter of data, not yet a confirmed new trend, but it directly updates the trailing narrative rather than just restating it. Gross borrowings have also risen (Rs 589 Cr from Rs 430 Cr) to fund ongoing capex (new Pithampur facility, peptide-manufacturing API block).</w:t>
      </w:r>
    </w:p>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Read 50 of 746+ posts covering FY22 through FY25 (posts #750-802) due to the thread's uneven posting cadence. harsh.beria93 (trusted) is again the dominant, most-detailed voice, with granular manufacturing-facility-by-facility and quarter-by-quarter notes spanning several years — a similarly sustained diligence effort to his Ajanta Pharma coverage. ranvir (trusted) provided detailed, sourced Q2 FY25 segment data. Rafi_Syed (trusted) shared a realistic, non-promotional management-meet summary (Nov 2022) explicitly noting continued US pricing pressure and 'no meaningful visible large launches' despite aggressive capex/R&amp;D spend.</w:t>
      </w:r>
    </w:p>
    <w:p>
      <w:pPr>
        <w:spacing w:after="120"/>
      </w:pPr>
      <w:r>
        <w:rPr>
          <w:b/>
          <w:bCs/>
          <w:sz w:val="20"/>
          <w:szCs w:val="20"/>
        </w:rPr>
        <w:t xml:space="preserve">High-conviction call from a top contributor: </w:t>
      </w:r>
      <w:r>
        <w:rPr>
          <w:sz w:val="20"/>
          <w:szCs w:val="20"/>
        </w:rPr>
        <w:t xml:space="preserve">harsh.beria93's (trusted) own multi-year decade-summary chart concludes: 'US has seen bouts of good growth followed by stagnation. Their non-US business has been the most secular growth driver' — a balanced, first-principles assessment rather than a bullish thesis. This matches Vijay_Kiran's (trusted) original queueing signal, which was a real, repeated (4 separate posts) but modestly-sized holding (1.00% weight by the most recent disclosure) rather than a large concentrated bet.</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FY22-FY25, ongoing — harsh.beria93, ranvir, Rafi_Syed (all trusted)</w:t>
      </w:r>
      <w:r>
        <w:rPr>
          <w:i/>
          <w:iCs/>
          <w:color w:val="666666"/>
          <w:sz w:val="18"/>
          <w:szCs w:val="18"/>
        </w:rPr>
        <w:t xml:space="preserve"> (Alembic Pharma company thread + VijayKiran (VK) Long Term Portfolio (queueing source))</w:t>
      </w:r>
      <w:r>
        <w:rPr>
          <w:sz w:val="20"/>
          <w:szCs w:val="20"/>
        </w:rPr>
        <w:br/>
        <w:t xml:space="preserve">: harsh.beria93 has posted detailed multi-year facility and concall notes; his own decade-summary explicitly frames the US business as cyclical/stagnant and non-US as the real secular growth driver. ranvir and Rafi_Syed provided detailed, realistic (not promotional) quarterly updates. Vijay_Kiran's original portfolio mention was a real but modest (1.00% weight) holding.</w:t>
      </w:r>
    </w:p>
    <w:p>
      <w:pPr>
        <w:pStyle w:val="Heading1"/>
        <w:spacing w:after="120" w:before="280"/>
      </w:pPr>
      <w:r>
        <w:t xml:space="preserve">BSE Corporate Actions / Other Red Flags</w:t>
      </w:r>
    </w:p>
    <w:p>
      <w:pPr>
        <w:spacing w:after="120"/>
      </w:pPr>
      <w:r>
        <w:t xml:space="preserve">No SEBI/regulatory action found. A Q1 FY25 API segment decline (-15%) was explained as due to a customer losing market share after their own FDA issues — an external, not Alembic-specific, concern.</w:t>
      </w:r>
    </w:p>
    <w:p>
      <w:pPr>
        <w:pStyle w:val="Heading1"/>
        <w:spacing w:after="120" w:before="280"/>
      </w:pPr>
      <w:r>
        <w:t xml:space="preserve">Bull Case</w:t>
      </w:r>
    </w:p>
    <w:p>
      <w:pPr>
        <w:pStyle w:val="ListParagraph"/>
        <w:numPr>
          <w:ilvl w:val="0"/>
          <w:numId w:val="1"/>
        </w:numPr>
        <w:spacing w:after="60"/>
      </w:pPr>
      <w:r>
        <w:t xml:space="preserve">Genuinely secular, well-diversified growth outside the US: domestic branded generics (new Gynac/Cardiac divisions, expanding MR force), and a strong animal healthcare segment (~24% CAGR, 5 brands with Rs 30 Cr+ sales each)</w:t>
      </w:r>
    </w:p>
    <w:p>
      <w:pPr>
        <w:pStyle w:val="ListParagraph"/>
        <w:numPr>
          <w:ilvl w:val="0"/>
          <w:numId w:val="1"/>
        </w:numPr>
        <w:spacing w:after="60"/>
      </w:pPr>
      <w:r>
        <w:t xml:space="preserve">Q1 FY27 shows a specific, credible catalyst directly contradicting the older 'cyclical/stagnant' US framing: US Formulations +49% YoY to Rs 778 Cr, consolidated revenue +25.66%, and management upgrading FY27 guidance to mid-teens</w:t>
      </w:r>
    </w:p>
    <w:p>
      <w:pPr>
        <w:pStyle w:val="ListParagraph"/>
        <w:numPr>
          <w:ilvl w:val="0"/>
          <w:numId w:val="1"/>
        </w:numPr>
        <w:spacing w:after="60"/>
      </w:pPr>
      <w:r>
        <w:t xml:space="preserve">A real (if slow-materializing) injectable/oncology/peptide pipeline under development across multiple facilities, which could eventually diversify away from cyclical US OSD pricing pressure</w:t>
      </w:r>
    </w:p>
    <w:p>
      <w:pPr>
        <w:pStyle w:val="ListParagraph"/>
        <w:numPr>
          <w:ilvl w:val="0"/>
          <w:numId w:val="1"/>
        </w:numPr>
        <w:spacing w:after="60"/>
      </w:pPr>
      <w:r>
        <w:t xml:space="preserve">Sustained, detailed, multi-year trusted-user diligence (harsh.beria93) matching the depth of coverage given to higher-conviction names in this batch</w:t>
      </w:r>
    </w:p>
    <w:p>
      <w:pPr>
        <w:pStyle w:val="Heading1"/>
        <w:spacing w:after="120" w:before="280"/>
      </w:pPr>
      <w:r>
        <w:t xml:space="preserve">Bear Case / Key Risks</w:t>
      </w:r>
    </w:p>
    <w:p>
      <w:pPr>
        <w:pStyle w:val="ListParagraph"/>
        <w:numPr>
          <w:ilvl w:val="0"/>
          <w:numId w:val="1"/>
        </w:numPr>
        <w:spacing w:after="60"/>
      </w:pPr>
      <w:r>
        <w:t xml:space="preserve">Trailing 5-year growth (6.37%) and moderate ROE/ROCE (12.7% / 14.66%) are weaker than the higher-quality names in this batch — the Q1 FY27 beat is one quarter and not yet a confirmed new trend</w:t>
      </w:r>
    </w:p>
    <w:p>
      <w:pPr>
        <w:pStyle w:val="ListParagraph"/>
        <w:numPr>
          <w:ilvl w:val="0"/>
          <w:numId w:val="1"/>
        </w:numPr>
        <w:spacing w:after="60"/>
      </w:pPr>
      <w:r>
        <w:t xml:space="preserve">The trusted user's own multi-year synthesis (through FY25) explicitly framed the flagship US business as cyclical/stagnant rather than a growth driver — Q1 FY27 updates this but doesn't yet overturn years of prior evidence</w:t>
      </w:r>
    </w:p>
    <w:p>
      <w:pPr>
        <w:pStyle w:val="ListParagraph"/>
        <w:numPr>
          <w:ilvl w:val="0"/>
          <w:numId w:val="1"/>
        </w:numPr>
        <w:spacing w:after="60"/>
      </w:pPr>
      <w:r>
        <w:t xml:space="preserve">Rising gross borrowings to fund ongoing capex, alongside management's own earlier admission of 'no meaningful visible large launches' in the US despite heavy R&amp;D spend</w:t>
      </w:r>
    </w:p>
    <w:p>
      <w:pPr>
        <w:pStyle w:val="ListParagraph"/>
        <w:numPr>
          <w:ilvl w:val="0"/>
          <w:numId w:val="1"/>
        </w:numPr>
        <w:spacing w:after="60"/>
      </w:pPr>
      <w:r>
        <w:t xml:space="preserve">The original trusted queueing signal was a real but modest (1.00%) position, not a high-conviction concentrated bet</w:t>
      </w:r>
    </w:p>
    <w:p>
      <w:pPr>
        <w:pStyle w:val="Heading1"/>
        <w:spacing w:after="120" w:before="280"/>
      </w:pPr>
      <w:r>
        <w:t xml:space="preserve">Market-Cap Tier (informational — not a gate in this project)</w:t>
      </w:r>
    </w:p>
    <w:p>
      <w:pPr>
        <w:spacing w:after="120"/>
      </w:pPr>
      <w:r>
        <w:rPr>
          <w:b/>
          <w:bCs/>
        </w:rPr>
        <w:t xml:space="preserve">mid-cap</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Weak trailing average, but a real and specific Q1 FY27 inflection in the exact segment the trusted user had flagged as weak — unconfirmed, worth tracking</w:t>
      </w:r>
    </w:p>
    <w:p>
      <w:pPr>
        <w:pStyle w:val="ListParagraph"/>
        <w:numPr>
          <w:ilvl w:val="0"/>
          <w:numId w:val="1"/>
        </w:numPr>
        <w:spacing w:after="60"/>
      </w:pPr>
      <w:r>
        <w:t xml:space="preserve">RE-VERIFICATION (2026-08-23): the prior Medium-High conviction and 'neither' thesis_fit were set under the old logic that auto-applied a conviction floor to any 'very-high' trusted signal — harsh.beria93's trust_tier is 'elevated', not 'core', so trusted_conviction_floor_active is false and that floor no longer applies. Conviction has been re-derived from scratch.</w:t>
      </w:r>
    </w:p>
    <w:p>
      <w:pPr>
        <w:pStyle w:val="ListParagraph"/>
        <w:numPr>
          <w:ilvl w:val="0"/>
          <w:numId w:val="1"/>
        </w:numPr>
        <w:spacing w:after="60"/>
      </w:pPr>
      <w:r>
        <w:t xml:space="preserve">Trailing quality metrics remain moderate (ROE 12.7%, ROCE 14.66%, 5-yr sales growth 6.37%), and the trusted user's own multi-year synthesis (through FY25) explicitly described the flagship US business as cyclical/stagnant.</w:t>
      </w:r>
    </w:p>
    <w:p>
      <w:pPr>
        <w:pStyle w:val="ListParagraph"/>
        <w:numPr>
          <w:ilvl w:val="0"/>
          <w:numId w:val="1"/>
        </w:numPr>
        <w:spacing w:after="60"/>
      </w:pPr>
      <w:r>
        <w:t xml:space="preserve">However, Q1 FY27 (quarter ended June 2026, sourced independently via screener/results, not yet reflected in the forum thread) shows a real, specific, credible catalyst directly in that same segment: US Formulations +49% YoY to Rs 778 Cr, consolidated revenue +25.66%, and an FY27 guidance upgrade to mid-teens growth. Per this project's methodology, a weak trailing average plus a strong, specific recent-quarter improvement at a mid-cap should be classified '10x-in-2-3-years' at low/medium conviction with an unconfirmed caveat, not 'neither'.</w:t>
      </w:r>
    </w:p>
    <w:p>
      <w:pPr>
        <w:pStyle w:val="ListParagraph"/>
        <w:numPr>
          <w:ilvl w:val="0"/>
          <w:numId w:val="1"/>
        </w:numPr>
        <w:spacing w:after="60"/>
      </w:pPr>
      <w:r>
        <w:t xml:space="preserve">Conviction is set to Medium — below the old floor-derived Medium-High, reflecting that this is one quarter of data overriding years of a genuinely weaker trend, and mid-teens revenue growth alone is not obviously multibagger-pace. Revisit next quarter to see if the US inflection persists before raising conviction further.</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2026-08-23T03:21:17.876Z</dcterms:created>
  <dcterms:modified xsi:type="dcterms:W3CDTF">2026-08-23T03:21:17.877Z</dcterms:modified>
</cp:coreProperties>
</file>

<file path=docProps/custom.xml><?xml version="1.0" encoding="utf-8"?>
<Properties xmlns="http://schemas.openxmlformats.org/officeDocument/2006/custom-properties" xmlns:vt="http://schemas.openxmlformats.org/officeDocument/2006/docPropsVTypes"/>
</file>