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Alembic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mid-cap pharma with a lumpy, cyclical US business but a genuinely secular non-US growth engine, tracked in exhaustive detail by a trusted user across multiple years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Alembic Pharma spans oral solids, injectables (general and oncology), dermatology, ophthalmology, and API manufacturing across 9 facilities, with a growing domestic branded-generics franchise (5,200+ medical reps, new Gynac/Cardiac divisions), a fast-growing animal healthcare segment (~24% CAGR over recent years), and a US generics business that management itself describes as prone to 'bouts of good growth followed by stagnation.'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16,346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635.80 - Rs 1,002.00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(3-yr)</w:t>
            </w:r>
          </w:p>
        </w:tc>
        <w:tc>
          <w:tcPr>
            <w:tcW w:type="dxa" w:w="5800"/>
          </w:tcPr>
          <w:p>
            <w:r>
              <w:t xml:space="preserve">12.7% (low)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14.66%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Sales growth (5-yr)</w:t>
            </w:r>
          </w:p>
        </w:tc>
        <w:tc>
          <w:tcPr>
            <w:tcW w:type="dxa" w:w="5800"/>
          </w:tcPr>
          <w:p>
            <w:r>
              <w:t xml:space="preserve">6.37% (poor)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TTM Revenue</w:t>
            </w:r>
          </w:p>
        </w:tc>
        <w:tc>
          <w:tcPr>
            <w:tcW w:type="dxa" w:w="5800"/>
          </w:tcPr>
          <w:p>
            <w:r>
              <w:t xml:space="preserve">Rs 6,267 Cr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Quality metrics are moderate rather than exceptional — ROE (12.7% 3-yr) and ROCE (14.66%) both trail peers like Ajanta Pharma in this same batch, and 5-year sales growth has been poor (6.37%), largely reflecting a choppy US business under sustained pricing pressure. Recent quarters (FY25Q1-Q4, read directly from concall notes) show more modest single-to-low-double-digit growth (Q2FY25 revenue +3% YoY, though EBITDA margin improved to 15.6% from 13.8%) rather than a clear re-acceleration. Gross borrowings have risen (Rs 589 Cr from Rs 430 Cr) to fund ongoing capex, including a new Pithampur facility and a peptide-manufacturing API block.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50 of 746+ posts covering FY22 through FY25 (posts #750-802) due to the thread's uneven posting cadence. harsh.beria93 (trusted) is again the dominant, most-detailed voice, with granular manufacturing-facility-by-facility and quarter-by-quarter notes spanning several years — a similarly sustained diligence effort to his Ajanta Pharma coverage. ranvir (trusted) provided detailed, sourced Q2 FY25 segment data. Rafi_Syed (trusted) shared a realistic, non-promotional management-meet summary (Nov 2022) explicitly noting continued US pricing pressure and 'no meaningful visible large launches' despite aggressive capex/R&amp;D spend.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harsh.beria93's (trusted) own multi-year decade-summary chart concludes: 'US has seen bouts of good growth followed by stagnation. Their non-US business has been the most secular growth driver' — a balanced, first-principles assessment rather than a bullish thesis. This matches Vijay_Kiran's (trusted) original queueing signal, which was a real, repeated (4 separate posts) but modestly-sized holding (1.00% weight by the most recent disclosure) rather than a large concentrated bet.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FY22-FY25, ongoing — harsh.beria93, ranvir, Rafi_Syed (all trusted)</w:t>
      </w:r>
      <w:r>
        <w:rPr>
          <w:i/>
          <w:iCs/>
          <w:color w:val="666666"/>
          <w:sz w:val="18"/>
          <w:szCs w:val="18"/>
        </w:rPr>
        <w:t xml:space="preserve"> (Alembic Pharma company thread + VijayKiran (VK) Long Term Portfolio (queueing source))</w:t>
      </w:r>
      <w:r>
        <w:rPr>
          <w:sz w:val="20"/>
          <w:szCs w:val="20"/>
        </w:rPr>
        <w:br/>
        <w:t xml:space="preserve">: harsh.beria93 has posted detailed multi-year facility and concall notes; his own decade-summary explicitly frames the US business as cyclical/stagnant and non-US as the real secular growth driver. ranvir and Rafi_Syed provided detailed, realistic (not promotional) quarterly updates. Vijay_Kiran's original portfolio mention was a real but modest (1.00% weight) holding.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A Q1 FY25 API segment decline (-15%) was explained as due to a customer losing market share after their own FDA issues — an external, not Alembic-specific, concern.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secular, well-diversified growth outside the US: domestic branded generics (new Gynac/Cardiac divisions, expanding MR force), and a strong animal healthcare segment (~24% CAGR, 5 brands with Rs 30 Cr+ sales each)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real (if slow-materializing) injectable/oncology/peptide pipeline under development across multiple facilities, which could eventually diversify away from the cyclical US OSD pricing pressure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Sustained, detailed, multi-year trusted-user diligence (harsh.beria93) matching the depth of coverage given to higher-conviction names in this batch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5-year growth (6.37%) and moderate ROE/ROCE (12.7% / 14.66%) are weaker than the higher-quality names in this batch — no strong recent-quarter re-acceleration was found to override this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user's own multi-year synthesis explicitly frames the flagship US business as cyclical/stagnant rather than a growth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Rising gross borrowings to fund ongoing capex, alongside management's own admission of 'no meaningful visible large launches' in the US despite heavy R&amp;D spend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trusted queueing signal was a real but modest (1.00%) position, not a high-conviction concentrated bet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diversified pharma company with a genuinely secular non-US growth engine, but moderate quality metrics and a cyclical US business keep this out of multibagger territory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trusted signal is real and sustained (harsh.beria93's multi-year diligence matches his coverage depth on higher-conviction names), but his own synthesis is balanced rather than bullish — explicitly describing the flagship US business as cyclically stagnant.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Both trailing and recent growth are moderate rather than strong, and ROE/ROCE trail the stronger names in this batch — the animal healthcare and domestic branded generics segments are genuine bright spots, but not yet large enough to drive company-wide multibagger-scale growth.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was found (the API decline and rising borrowings are explained, non-alarming items), so per the conviction floor for very-high trusted candidates, conviction is set to Medium-High.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is 'neither' given the combination of moderate quality metrics, a cyclical core segment, and Rs 16,346 Cr mid-cap size — worth tracking specifically for whether the injectable/oncology/peptide pipeline and animal healthcare segment can become large enough to change the growth math.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2026-08-22T16:29:25.646Z</dcterms:created>
  <dcterms:modified xsi:type="dcterms:W3CDTF">2026-08-22T16:29:25.653Z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