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Alufluoride Ltd</w:t>
      </w:r>
    </w:p>
    <w:p>
      <w:pPr>
        <w:pBdr>
          <w:bottom w:val="single" w:color="CCCCCC" w:sz="6" w:space="8"/>
        </w:pBdr>
        <w:spacing w:after="200"/>
      </w:pPr>
      <w:r>
        <w:rPr>
          <w:i/>
          <w:iCs/>
          <w:color w:val="666666"/>
          <w:sz w:val="22"/>
          <w:szCs w:val="22"/>
        </w:rPr>
        <w:t xml:space="preserve">Niche import-substitution moat (Aluminium Fluoride) with a real expansion (24,000 TPA, completed Aug 2026) - but Q1 FY27 revenue fell ~40% YoY because primary feedstock supplier Coromandel has chronically under-delivered its contracted FSA quantity 'since inception', a structural supply risk the market hadn't fully seen until this print</w:t>
      </w:r>
    </w:p>
    <w:p>
      <w:pPr>
        <w:pStyle w:val="Heading1"/>
        <w:spacing w:after="120" w:before="280"/>
      </w:pPr>
      <w:r>
        <w:t xml:space="preserve">Business Overview</w:t>
      </w:r>
    </w:p>
    <w:p>
      <w:pPr>
        <w:spacing w:after="120"/>
      </w:pPr>
      <w:r>
        <w:t xml:space="preserve">Alufluoride manufactures Aluminium Fluoride (AlF3), a critical flux for aluminium smelters, using a low-cost 'waste-to-wealth' process (Hydrofluosilicic Acid, a fertilizer-industry byproduct) licensed from Alusuisse, Switzerland -- one of only two Indian AlF3 producers using this cheaper route versus fluorspar-based/imported alternatives.</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357 Cr</w:t>
            </w:r>
          </w:p>
        </w:tc>
      </w:tr>
      <w:tr>
        <w:tc>
          <w:tcPr>
            <w:tcW w:type="dxa" w:w="3200"/>
            <w:shd w:fill="F2F2F2" w:val="clear"/>
          </w:tcPr>
          <w:p>
            <w:r>
              <w:rPr>
                <w:b/>
                <w:bCs/>
              </w:rPr>
              <w:t xml:space="preserve">ROE</w:t>
            </w:r>
          </w:p>
        </w:tc>
        <w:tc>
          <w:tcPr>
            <w:tcW w:type="dxa" w:w="5800"/>
          </w:tcPr>
          <w:p>
            <w:r>
              <w:t xml:space="preserve">16.78%</w:t>
            </w:r>
          </w:p>
        </w:tc>
      </w:tr>
      <w:tr>
        <w:tc>
          <w:tcPr>
            <w:tcW w:type="dxa" w:w="3200"/>
            <w:shd w:fill="F2F2F2" w:val="clear"/>
          </w:tcPr>
          <w:p>
            <w:r>
              <w:rPr>
                <w:b/>
                <w:bCs/>
              </w:rPr>
              <w:t xml:space="preserve">ROCE</w:t>
            </w:r>
          </w:p>
        </w:tc>
        <w:tc>
          <w:tcPr>
            <w:tcW w:type="dxa" w:w="5800"/>
          </w:tcPr>
          <w:p>
            <w:r>
              <w:t xml:space="preserve">Not fully found this pass</w:t>
            </w:r>
          </w:p>
        </w:tc>
      </w:tr>
      <w:tr>
        <w:tc>
          <w:tcPr>
            <w:tcW w:type="dxa" w:w="3200"/>
            <w:shd w:fill="F2F2F2" w:val="clear"/>
          </w:tcPr>
          <w:p>
            <w:r>
              <w:rPr>
                <w:b/>
                <w:bCs/>
              </w:rPr>
              <w:t xml:space="preserve">Debt</w:t>
            </w:r>
          </w:p>
        </w:tc>
        <w:tc>
          <w:tcPr>
            <w:tcW w:type="dxa" w:w="5800"/>
          </w:tcPr>
          <w:p>
            <w:r>
              <w:t xml:space="preserve">Net cash (net D/E -0.10); debt-averse with strong cash flows</w:t>
            </w:r>
          </w:p>
        </w:tc>
      </w:tr>
      <w:tr>
        <w:tc>
          <w:tcPr>
            <w:tcW w:type="dxa" w:w="3200"/>
            <w:shd w:fill="F2F2F2" w:val="clear"/>
          </w:tcPr>
          <w:p>
            <w:r>
              <w:rPr>
                <w:b/>
                <w:bCs/>
              </w:rPr>
              <w:t xml:space="preserve">Revenue growth</w:t>
            </w:r>
          </w:p>
        </w:tc>
        <w:tc>
          <w:tcPr>
            <w:tcW w:type="dxa" w:w="5800"/>
          </w:tcPr>
          <w:p>
            <w:r>
              <w:t xml:space="preserve">9M FY26 revenue Rs 156.18 Cr vs Rs 131.89 Cr 9M FY25 (+18.4%); FY26 net profit +55.9% YoY; but Q4 FY26 saw margin compression despite revenue resilience</w:t>
            </w:r>
          </w:p>
        </w:tc>
      </w:tr>
      <w:tr>
        <w:tc>
          <w:tcPr>
            <w:tcW w:type="dxa" w:w="3200"/>
            <w:shd w:fill="F2F2F2" w:val="clear"/>
          </w:tcPr>
          <w:p>
            <w:r>
              <w:rPr>
                <w:b/>
                <w:bCs/>
              </w:rPr>
              <w:t xml:space="preserve">52-week range</w:t>
            </w:r>
          </w:p>
        </w:tc>
        <w:tc>
          <w:tcPr>
            <w:tcW w:type="dxa" w:w="5800"/>
          </w:tcPr>
          <w:p>
            <w:r>
              <w:t xml:space="preserve">Rs 377.60 - 615.00</w:t>
            </w:r>
          </w:p>
        </w:tc>
      </w:tr>
    </w:tbl>
    <w:p>
      <w:pPr>
        <w:spacing w:after="100"/>
      </w:pPr>
    </w:p>
    <w:p>
      <w:pPr>
        <w:spacing w:after="120"/>
      </w:pPr>
      <w:r>
        <w:t xml:space="preserve">Genuinely undemanding micro-cap with a real, specific import-substitution moat: India's total AlF3 demand is ~80,000 TPA against combined domestic production of only ~23,000 TPA (Alufluoride ~18,000 + Greenstar ~5,000), meaning most demand is still met by imports -- a real runway for domestic capacity gains. FY26 delivered a record standalone revenue of Rs 208.76 Cr (+10.7%) and PAT of Rs 24.29 Cr (+32.7%), ROCE has held a strong, stable 24-25% for 3 years, and the 24,000 TPA capacity expansion (from 18,000) completed in Aug 2026, alongside solar capacity now at 4.1 MW. But Q4 FY26 already showed margin compression, and Q1 FY27 was materially worse: revenue fell ~40% YoY (Rs 25.97 Cr vs Rs 42.93 Cr) on reduced production, because the company's primary contracted FSA (Hydrofluosilicic Acid feedstock) supplier, Coromandel International, has been unable to supply its full contracted 4,000 TPA quantity 'since inception' -- forcing costlier/uncertain balance sourcing from Odisha. This is a structural feedstock-reliability problem, not the cyclical raw-material-price issue the Jan-2026 trusted-user summary (and the planned Alumina Hydrate backward-integration project) was framed around -- and it directly undercuts the low-cost-feedstock moat the whole thesis rests on if the new 24,000 TPA capacity can't be reliably fed.</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2026-09-05.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FY26 results press coverage (record standalone revenue Rs208.76Cr, PAT Rs24.29Cr, production 17,787 MT)</w:t>
      </w:r>
    </w:p>
    <w:p>
      <w:pPr>
        <w:pStyle w:val="ListParagraph"/>
        <w:numPr>
          <w:ilvl w:val="0"/>
          <w:numId w:val="1"/>
        </w:numPr>
        <w:spacing w:after="60"/>
      </w:pPr>
      <w:r>
        <w:t xml:space="preserve">Q4 FY26 result-analysis (marketsmojo) and Q1 FY27 results press coverage</w:t>
      </w:r>
    </w:p>
    <w:p>
      <w:pPr>
        <w:pStyle w:val="ListParagraph"/>
        <w:numPr>
          <w:ilvl w:val="0"/>
          <w:numId w:val="1"/>
        </w:numPr>
        <w:spacing w:after="60"/>
      </w:pPr>
      <w:r>
        <w:t xml:space="preserve">screener.in consolidated financials (ROCE/ROE/debt/cash-flow/debtor-days trend, ~3yr)</w:t>
      </w:r>
    </w:p>
    <w:p>
      <w:pPr>
        <w:pStyle w:val="ListParagraph"/>
        <w:numPr>
          <w:ilvl w:val="0"/>
          <w:numId w:val="1"/>
        </w:numPr>
        <w:spacing w:after="60"/>
      </w:pPr>
      <w:r>
        <w:t xml:space="preserve">Coromandel International FSA-supply-agreement detail (multiple company/press sources) and BSE Aug-2026 capacity-completion announcement</w:t>
      </w:r>
    </w:p>
    <w:p>
      <w:pPr>
        <w:spacing w:after="120"/>
      </w:pPr>
      <w:r>
        <w:rPr>
          <w:b/>
          <w:bCs/>
          <w:sz w:val="20"/>
          <w:szCs w:val="20"/>
        </w:rPr>
        <w:t xml:space="preserve">Annual-report findings (3-year view):</w:t>
      </w:r>
    </w:p>
    <w:p>
      <w:pPr>
        <w:pStyle w:val="ListParagraph"/>
        <w:numPr>
          <w:ilvl w:val="0"/>
          <w:numId w:val="1"/>
        </w:numPr>
        <w:spacing w:after="60"/>
      </w:pPr>
      <w:r>
        <w:t xml:space="preserve">FY26: all-time record standalone revenue Rs208.76Cr (+10.7% YoY), PAT Rs24.29Cr (+32.7%), AlF3 production 17,787 MT; 9M FY26 revenue was already +18.4% YoY, so the full-year number decelerated somewhat into Q4</w:t>
      </w:r>
    </w:p>
    <w:p>
      <w:pPr>
        <w:pStyle w:val="ListParagraph"/>
        <w:numPr>
          <w:ilvl w:val="0"/>
          <w:numId w:val="1"/>
        </w:numPr>
        <w:spacing w:after="60"/>
      </w:pPr>
      <w:r>
        <w:t xml:space="preserve">ROCE has held a stable, strong 24%-&gt;25%-&gt;24% over the last 3 years; ROE ~21.8-22%</w:t>
      </w:r>
    </w:p>
    <w:p>
      <w:pPr>
        <w:pStyle w:val="ListParagraph"/>
        <w:numPr>
          <w:ilvl w:val="0"/>
          <w:numId w:val="1"/>
        </w:numPr>
        <w:spacing w:after="60"/>
      </w:pPr>
      <w:r>
        <w:t xml:space="preserve">Balance sheet: total borrowings Rs37.7Cr (standalone, Mar-2026) vs reserves ~Rs95Cr+ - net-cash-ish position, zero promoter pledge, promoter holding stable 59.94%</w:t>
      </w:r>
    </w:p>
    <w:p>
      <w:pPr>
        <w:pStyle w:val="ListParagraph"/>
        <w:numPr>
          <w:ilvl w:val="0"/>
          <w:numId w:val="1"/>
        </w:numPr>
        <w:spacing w:after="60"/>
      </w:pPr>
      <w:r>
        <w:t xml:space="preserve">FY26 capex was heavy (~Rs59Cr per screener, for the 24,000 TPA expansion) against OCF of only Rs15Cr that year - FCF near-zero; OCF/operating-profit ratio weakened from ~125% (prior year) to ~59% (FY26)</w:t>
      </w:r>
    </w:p>
    <w:p>
      <w:pPr>
        <w:pStyle w:val="ListParagraph"/>
        <w:numPr>
          <w:ilvl w:val="0"/>
          <w:numId w:val="1"/>
        </w:numPr>
        <w:spacing w:after="60"/>
      </w:pPr>
      <w:r>
        <w:t xml:space="preserve">Debtor days improved substantially (37-&gt;28-&gt;19 days over 3 years) - working capital management is a genuine positive, unrelated to the feedstock issue</w:t>
      </w:r>
    </w:p>
    <w:p>
      <w:pPr>
        <w:pStyle w:val="ListParagraph"/>
        <w:numPr>
          <w:ilvl w:val="0"/>
          <w:numId w:val="1"/>
        </w:numPr>
        <w:spacing w:after="60"/>
      </w:pPr>
      <w:r>
        <w:t xml:space="preserve">Dividend raised to Rs4/share (FY26) from Rs3 (FY25) - consistent payout despite the heavy capex year</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9M FY26: revenue +18.4% YoY (Rs156.18Cr vs Rs131.89Cr)</w:t>
      </w:r>
    </w:p>
    <w:p>
      <w:pPr>
        <w:pStyle w:val="ListParagraph"/>
        <w:numPr>
          <w:ilvl w:val="0"/>
          <w:numId w:val="1"/>
        </w:numPr>
        <w:spacing w:after="60"/>
      </w:pPr>
      <w:r>
        <w:t xml:space="preserve">Q4 FY26: ~498bps sequential operating-margin contraction attributed to input-cost/commodity pressure, plus a Rs1.68Cr negative swing in other income</w:t>
      </w:r>
    </w:p>
    <w:p>
      <w:pPr>
        <w:pStyle w:val="ListParagraph"/>
        <w:numPr>
          <w:ilvl w:val="0"/>
          <w:numId w:val="1"/>
        </w:numPr>
        <w:spacing w:after="60"/>
      </w:pPr>
      <w:r>
        <w:t xml:space="preserve">Q1 FY27: revenue fell to Rs25.97Cr from Rs42.93Cr YoY (-39.5%), PAT down 9.6% YoY to Rs2.88Cr, driven by reduced production - management attributes this to FSA (feedstock) supply shortfall, with recovery hoped for 'from the current quarter'</w:t>
      </w:r>
    </w:p>
    <w:p>
      <w:pPr>
        <w:pStyle w:val="ListParagraph"/>
        <w:numPr>
          <w:ilvl w:val="0"/>
          <w:numId w:val="1"/>
        </w:numPr>
        <w:spacing w:after="60"/>
      </w:pPr>
      <w:r>
        <w:t xml:space="preserve">Root cause found: Coromandel International Ltd was contracted to supply 4,000 TPA of Hydrofluosilicic Acid (FSA) exclusively to Alufluoride from its new Kakinada plant, but 'has been unable to supply the contracted quantity since inception' - the balance is being sourced from Odisha</w:t>
      </w:r>
    </w:p>
    <w:p>
      <w:pPr>
        <w:spacing w:after="120"/>
      </w:pPr>
      <w:r>
        <w:rPr>
          <w:b/>
          <w:bCs/>
          <w:sz w:val="20"/>
          <w:szCs w:val="20"/>
        </w:rPr>
        <w:t xml:space="preserve">Exchange announcements (last 6 months):</w:t>
      </w:r>
    </w:p>
    <w:p>
      <w:pPr>
        <w:pStyle w:val="ListParagraph"/>
        <w:numPr>
          <w:ilvl w:val="0"/>
          <w:numId w:val="1"/>
        </w:numPr>
        <w:spacing w:after="60"/>
      </w:pPr>
      <w:r>
        <w:t xml:space="preserve">Aug 2026: 24,000 TPA capacity expansion completed (from 18,000 TPA)</w:t>
      </w:r>
    </w:p>
    <w:p>
      <w:pPr>
        <w:pStyle w:val="ListParagraph"/>
        <w:numPr>
          <w:ilvl w:val="0"/>
          <w:numId w:val="1"/>
        </w:numPr>
        <w:spacing w:after="60"/>
      </w:pPr>
      <w:r>
        <w:t xml:space="preserve">FY26: additional 1.1 MW captive solar plant commissioned (total solar capacity now ~4.1 MW)</w:t>
      </w:r>
    </w:p>
    <w:p>
      <w:pPr>
        <w:pStyle w:val="ListParagraph"/>
        <w:numPr>
          <w:ilvl w:val="0"/>
          <w:numId w:val="1"/>
        </w:numPr>
        <w:spacing w:after="60"/>
      </w:pPr>
      <w:r>
        <w:t xml:space="preserve">Jul 2026 AGM: FY26 accounts, Rs4/share final dividend, remuneration approvals passed</w:t>
      </w:r>
    </w:p>
    <w:p>
      <w:pPr>
        <w:pStyle w:val="ListParagraph"/>
        <w:numPr>
          <w:ilvl w:val="0"/>
          <w:numId w:val="1"/>
        </w:numPr>
        <w:spacing w:after="60"/>
      </w:pPr>
      <w:r>
        <w:t xml:space="preserve">Aug 2026: shares admitted to NSE trading (dual-listing/upgrade event, not a fundamental catalyst)</w:t>
      </w:r>
    </w:p>
    <w:p>
      <w:pPr>
        <w:spacing w:after="120"/>
      </w:pPr>
      <w:r>
        <w:rPr>
          <w:b/>
          <w:bCs/>
          <w:sz w:val="20"/>
          <w:szCs w:val="20"/>
        </w:rPr>
        <w:t xml:space="preserve">Key new facts vs. the prior write-up:</w:t>
      </w:r>
    </w:p>
    <w:p>
      <w:pPr>
        <w:pStyle w:val="ListParagraph"/>
        <w:numPr>
          <w:ilvl w:val="0"/>
          <w:numId w:val="1"/>
        </w:numPr>
        <w:spacing w:after="60"/>
      </w:pPr>
      <w:r>
        <w:t xml:space="preserve">The primary FSA feedstock supplier (Coromandel) has under-delivered its contracted quantity 'since inception', not just in a recent disrupted quarter - this is a structural, longer-running supply-reliability problem that the Jan-2026 trusted-user bull writeup did not surface</w:t>
      </w:r>
    </w:p>
    <w:p>
      <w:pPr>
        <w:pStyle w:val="ListParagraph"/>
        <w:numPr>
          <w:ilvl w:val="0"/>
          <w:numId w:val="1"/>
        </w:numPr>
        <w:spacing w:after="60"/>
      </w:pPr>
      <w:r>
        <w:t xml:space="preserve">This directly caused the Q1 FY27 ~40% revenue decline via reduced production, not a demand or pricing issue</w:t>
      </w:r>
    </w:p>
    <w:p>
      <w:pPr>
        <w:pStyle w:val="ListParagraph"/>
        <w:numPr>
          <w:ilvl w:val="0"/>
          <w:numId w:val="1"/>
        </w:numPr>
        <w:spacing w:after="60"/>
      </w:pPr>
      <w:r>
        <w:t xml:space="preserve">The new 24,000 TPA capacity (just completed) is capacity Alufluoride may not be able to fully feed if the Coromandel shortfall persists - a real execution risk layered on top of the capex already spent</w:t>
      </w:r>
    </w:p>
    <w:p>
      <w:pPr>
        <w:pStyle w:val="ListParagraph"/>
        <w:numPr>
          <w:ilvl w:val="0"/>
          <w:numId w:val="1"/>
        </w:numPr>
        <w:spacing w:after="60"/>
      </w:pPr>
      <w:r>
        <w:t xml:space="preserve">FY26 cash conversion weakened materially (OCF/PAT-adjacent ratio ~125%-&gt;~59%) in the same year as the heavy expansion capex - FCF was roughly zero</w:t>
      </w:r>
    </w:p>
    <w:p>
      <w:pPr>
        <w:spacing w:after="120"/>
      </w:pPr>
      <w:r>
        <w:rPr>
          <w:b/>
          <w:bCs/>
          <w:sz w:val="20"/>
          <w:szCs w:val="20"/>
        </w:rPr>
        <w:t xml:space="preserve">Open questions / what to watch:</w:t>
      </w:r>
    </w:p>
    <w:p>
      <w:pPr>
        <w:pStyle w:val="ListParagraph"/>
        <w:numPr>
          <w:ilvl w:val="0"/>
          <w:numId w:val="1"/>
        </w:numPr>
        <w:spacing w:after="60"/>
      </w:pPr>
      <w:r>
        <w:t xml:space="preserve">Whether the Coromandel FSA shortfall actually resolves in Q2 FY27 as management hopes, or continues, is unconfirmed - no post-Q1-FY27 update was found this pass</w:t>
      </w:r>
    </w:p>
    <w:p>
      <w:pPr>
        <w:pStyle w:val="ListParagraph"/>
        <w:numPr>
          <w:ilvl w:val="0"/>
          <w:numId w:val="1"/>
        </w:numPr>
        <w:spacing w:after="60"/>
      </w:pPr>
      <w:r>
        <w:t xml:space="preserve">Exact terms/penalties (if any) in the Coromandel supply contract for under-delivery were not sourced</w:t>
      </w:r>
    </w:p>
    <w:p>
      <w:pPr>
        <w:pStyle w:val="ListParagraph"/>
        <w:numPr>
          <w:ilvl w:val="0"/>
          <w:numId w:val="1"/>
        </w:numPr>
        <w:spacing w:after="60"/>
      </w:pPr>
      <w:r>
        <w:t xml:space="preserve">Precise FY26 EBITDA and a clean 3-yr trailing free-cash-flow-conversion number were not derivable from the sources reviewed (capex figures varied between sources: Rs59Cr per one screener cut vs an Rs18-21Cr trend per another) - quality_metrics fcf_conversion_pct here is a rough single-year estimate, not a verified 3-yr average</w:t>
      </w:r>
    </w:p>
    <w:p>
      <w:pPr>
        <w:pStyle w:val="ListParagraph"/>
        <w:numPr>
          <w:ilvl w:val="0"/>
          <w:numId w:val="1"/>
        </w:numPr>
        <w:spacing w:after="60"/>
      </w:pPr>
      <w:r>
        <w:t xml:space="preserve">No RPT disclosure was found or reviewed this pass</w:t>
      </w:r>
    </w:p>
    <w:p>
      <w:pPr>
        <w:spacing w:after="120" w:before="120"/>
      </w:pPr>
      <w:r>
        <w:rPr>
          <w:b/>
          <w:bCs/>
          <w:sz w:val="20"/>
          <w:szCs w:val="20"/>
        </w:rPr>
        <w:t xml:space="preserve">Conviction impact: </w:t>
      </w:r>
      <w:r>
        <w:rPr>
          <w:sz w:val="20"/>
          <w:szCs w:val="20"/>
        </w:rPr>
        <w:t xml:space="preserve">Medium -&gt; Low-Medium. The TAM/tailwind case is intact, but this pass uncovered that the moat's core input (cheap FSA feedstock) has a chronic, since-inception reliability problem with the primary contracted supplier, which just caused a ~40% quarterly revenue decline. That is a materially different and more serious risk than the 'margin compression from raw-material price volatility' framing in the existing write-up, and it remains unresolved as of the latest data found.</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capacity</w:t>
            </w:r>
          </w:p>
        </w:tc>
        <w:tc>
          <w:tcPr>
            <w:tcW w:type="dxa" w:w="2600"/>
          </w:tcPr>
          <w:p>
            <w:r>
              <w:rPr>
                <w:b w:val="false"/>
                <w:bCs w:val="false"/>
                <w:sz w:val="18"/>
                <w:szCs w:val="18"/>
              </w:rPr>
              <w:t xml:space="preserve">24,000 TPA capacity expansion completed</w:t>
            </w:r>
          </w:p>
        </w:tc>
        <w:tc>
          <w:tcPr>
            <w:tcW w:type="dxa" w:w="2400"/>
          </w:tcPr>
          <w:p>
            <w:r>
              <w:rPr>
                <w:b w:val="false"/>
                <w:bCs w:val="false"/>
                <w:sz w:val="18"/>
                <w:szCs w:val="18"/>
              </w:rPr>
              <w:t xml:space="preserve">12,000 -&gt; 16,000 -&gt; 18,000 -&gt; 24,000 TPA, completed Aug 2026</w:t>
            </w:r>
          </w:p>
        </w:tc>
        <w:tc>
          <w:tcPr>
            <w:tcW w:type="dxa" w:w="900"/>
          </w:tcPr>
          <w:p>
            <w:r>
              <w:rPr>
                <w:b w:val="false"/>
                <w:bCs w:val="false"/>
                <w:sz w:val="18"/>
                <w:szCs w:val="18"/>
              </w:rPr>
              <w:t xml:space="preserve">3M</w:t>
            </w:r>
          </w:p>
        </w:tc>
        <w:tc>
          <w:tcPr>
            <w:tcW w:type="dxa" w:w="1200"/>
          </w:tcPr>
          <w:p>
            <w:r>
              <w:rPr>
                <w:b w:val="false"/>
                <w:bCs w:val="false"/>
                <w:sz w:val="18"/>
                <w:szCs w:val="18"/>
              </w:rPr>
              <w:t xml:space="preserve">operational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capex</w:t>
            </w:r>
          </w:p>
        </w:tc>
        <w:tc>
          <w:tcPr>
            <w:tcW w:type="dxa" w:w="2600"/>
          </w:tcPr>
          <w:p>
            <w:r>
              <w:rPr>
                <w:b w:val="false"/>
                <w:bCs w:val="false"/>
                <w:sz w:val="18"/>
                <w:szCs w:val="18"/>
              </w:rPr>
              <w:t xml:space="preserve">Alumina Hydrate backward-integration project, Phase 1</w:t>
            </w:r>
          </w:p>
        </w:tc>
        <w:tc>
          <w:tcPr>
            <w:tcW w:type="dxa" w:w="2400"/>
          </w:tcPr>
          <w:p>
            <w:r>
              <w:rPr>
                <w:b w:val="false"/>
                <w:bCs w:val="false"/>
                <w:sz w:val="18"/>
                <w:szCs w:val="18"/>
              </w:rPr>
              <w:t xml:space="preserve">Rs 40-50 Cr Phase 1 capex, 30,000-50,000 TPA, aimed at input-cost volatility</w:t>
            </w:r>
          </w:p>
        </w:tc>
        <w:tc>
          <w:tcPr>
            <w:tcW w:type="dxa" w:w="900"/>
          </w:tcPr>
          <w:p>
            <w:r>
              <w:rPr>
                <w:b w:val="false"/>
                <w:bCs w:val="false"/>
                <w:sz w:val="18"/>
                <w:szCs w:val="18"/>
              </w:rPr>
              <w:t xml:space="preserve">12M</w:t>
            </w:r>
          </w:p>
        </w:tc>
        <w:tc>
          <w:tcPr>
            <w:tcW w:type="dxa" w:w="1200"/>
          </w:tcPr>
          <w:p>
            <w:r>
              <w:rPr>
                <w:b w:val="false"/>
                <w:bCs w:val="false"/>
                <w:sz w:val="18"/>
                <w:szCs w:val="18"/>
              </w:rPr>
              <w:t xml:space="preserve">action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capacity</w:t>
            </w:r>
          </w:p>
        </w:tc>
        <w:tc>
          <w:tcPr>
            <w:tcW w:type="dxa" w:w="2600"/>
          </w:tcPr>
          <w:p>
            <w:r>
              <w:rPr>
                <w:b w:val="false"/>
                <w:bCs w:val="false"/>
                <w:sz w:val="18"/>
                <w:szCs w:val="18"/>
              </w:rPr>
              <w:t xml:space="preserve">Management expects FSA feedstock supply/production to recover 'from the current quarter'</w:t>
            </w:r>
          </w:p>
        </w:tc>
        <w:tc>
          <w:tcPr>
            <w:tcW w:type="dxa" w:w="2400"/>
          </w:tcPr>
          <w:p>
            <w:r>
              <w:rPr>
                <w:b w:val="false"/>
                <w:bCs w:val="false"/>
                <w:sz w:val="18"/>
                <w:szCs w:val="18"/>
              </w:rPr>
              <w:t xml:space="preserve">Coromandel contracted for 4,000 TPA (has chronically under-delivered since inception); balance sourced from Odisha</w:t>
            </w:r>
          </w:p>
        </w:tc>
        <w:tc>
          <w:tcPr>
            <w:tcW w:type="dxa" w:w="900"/>
          </w:tcPr>
          <w:p>
            <w:r>
              <w:rPr>
                <w:b w:val="false"/>
                <w:bCs w:val="false"/>
                <w:sz w:val="18"/>
                <w:szCs w:val="18"/>
              </w:rPr>
              <w:t xml:space="preserve">3M</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bl>
    <w:p>
      <w:pPr>
        <w:spacing w:after="60" w:before="120"/>
      </w:pPr>
      <w:r>
        <w:rPr>
          <w:b/>
          <w:bCs/>
          <w:sz w:val="20"/>
          <w:szCs w:val="20"/>
        </w:rPr>
        <w:t xml:space="preserve">Earnings chain: </w:t>
      </w:r>
      <w:r>
        <w:rPr>
          <w:b w:val="false"/>
          <w:bCs w:val="false"/>
          <w:sz w:val="20"/>
          <w:szCs w:val="20"/>
        </w:rPr>
        <w:t xml:space="preserve">FSA (feedstock) supply availability</w:t>
      </w:r>
      <w:r>
        <w:rPr>
          <w:color w:val="666666"/>
          <w:sz w:val="20"/>
          <w:szCs w:val="20"/>
        </w:rPr>
        <w:t xml:space="preserve"> → </w:t>
      </w:r>
      <w:r>
        <w:rPr>
          <w:b w:val="false"/>
          <w:bCs w:val="false"/>
          <w:sz w:val="20"/>
          <w:szCs w:val="20"/>
        </w:rPr>
        <w:t xml:space="preserve">production volume</w:t>
      </w:r>
      <w:r>
        <w:rPr>
          <w:color w:val="666666"/>
          <w:sz w:val="20"/>
          <w:szCs w:val="20"/>
        </w:rPr>
        <w:t xml:space="preserve"> → </w:t>
      </w:r>
      <w:r>
        <w:rPr>
          <w:b w:val="false"/>
          <w:bCs w:val="false"/>
          <w:sz w:val="20"/>
          <w:szCs w:val="20"/>
        </w:rPr>
        <w:t xml:space="preserve">revenue</w:t>
      </w:r>
      <w:r>
        <w:rPr>
          <w:color w:val="666666"/>
          <w:sz w:val="20"/>
          <w:szCs w:val="20"/>
        </w:rPr>
        <w:t xml:space="preserve"> → </w:t>
      </w:r>
      <w:r>
        <w:rPr>
          <w:b w:val="false"/>
          <w:bCs w:val="false"/>
          <w:sz w:val="20"/>
          <w:szCs w:val="20"/>
        </w:rPr>
        <w:t xml:space="preserve">operating leverage on the new 24,000 TPA capacity</w:t>
      </w:r>
      <w:r>
        <w:rPr>
          <w:color w:val="666666"/>
          <w:sz w:val="20"/>
          <w:szCs w:val="20"/>
        </w:rPr>
        <w:t xml:space="preserve"> → </w:t>
      </w:r>
      <w:r>
        <w:rPr>
          <w:b w:val="false"/>
          <w:bCs w:val="false"/>
          <w:sz w:val="20"/>
          <w:szCs w:val="20"/>
        </w:rPr>
        <w:t xml:space="preserve">EBITDA margin</w:t>
      </w:r>
      <w:r>
        <w:rPr>
          <w:color w:val="666666"/>
          <w:sz w:val="20"/>
          <w:szCs w:val="20"/>
        </w:rPr>
        <w:t xml:space="preserve"> → </w:t>
      </w:r>
      <w:r>
        <w:rPr>
          <w:b w:val="false"/>
          <w:bCs w:val="false"/>
          <w:sz w:val="20"/>
          <w:szCs w:val="20"/>
        </w:rPr>
        <w:t xml:space="preserve">PAT</w:t>
      </w:r>
    </w:p>
    <w:p>
      <w:pPr>
        <w:spacing w:after="120"/>
      </w:pPr>
      <w:r>
        <w:rPr>
          <w:color w:val="666666"/>
          <w:sz w:val="18"/>
          <w:szCs w:val="18"/>
        </w:rPr>
        <w:t xml:space="preserve">Bottleneck link: FSA feedstock supply - primary contracted supplier Coromandel has chronically under-delivered since inception, forcing costlier/uncertain Odisha sourcing and directly causing the Q1 FY27 ~40% revenue decline.</w:t>
      </w:r>
    </w:p>
    <w:p>
      <w:pPr>
        <w:spacing w:after="120"/>
      </w:pPr>
      <w:r>
        <w:rPr>
          <w:color w:val="666666"/>
          <w:sz w:val="18"/>
          <w:szCs w:val="18"/>
        </w:rPr>
        <w:t xml:space="preserve">Operating leverage: unclear — the new 24,000 TPA capacity can't be assessed for operating leverage until feedstock supply is reliable enough to actually run it</w:t>
      </w:r>
    </w:p>
    <w:p>
      <w:pPr>
        <w:spacing w:after="120"/>
      </w:pPr>
      <w:r>
        <w:rPr>
          <w:color w:val="666666"/>
          <w:sz w:val="18"/>
          <w:szCs w:val="18"/>
        </w:rPr>
        <w:t xml:space="preserve">Evidenced: Q1 FY27 revenue -39.5% YoY tied to reduced production from the feedstock shortfall; 24,000 TPA capacity completed Aug 2026. Still assumed: FSA supply recovery 'from the current quarter' (management hope, not yet evidenced); Alumina Hydrate backward integration fixing input-cost volatility (does not directly address the Coromandel volume shortfall).</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2026-09-05</w:t>
            </w:r>
          </w:p>
        </w:tc>
      </w:tr>
      <w:tr>
        <w:tc>
          <w:tcPr>
            <w:tcW w:type="dxa" w:w="3200"/>
            <w:shd w:fill="F2F2F2" w:val="clear"/>
          </w:tcPr>
          <w:p>
            <w:r>
              <w:rPr>
                <w:b/>
                <w:bCs/>
              </w:rPr>
              <w:t xml:space="preserve">Price / multiple</w:t>
            </w:r>
          </w:p>
        </w:tc>
        <w:tc>
          <w:tcPr>
            <w:tcW w:type="dxa" w:w="5800"/>
          </w:tcPr>
          <w:p>
            <w:r>
              <w:t xml:space="preserve">Rs 499 · 15.8x P/E</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15.8x P/E (market cap ~Rs390Cr, well off the Rs615 52-week high but not fully cratered) suggests the market has priced in some caution post-Q4 FY26 margin compression, but likely not the full structural (since-inception) nature of the Coromandel feedstock shortfall behind the Q1 FY27 revenue collapse</w:t>
            </w:r>
          </w:p>
        </w:tc>
      </w:tr>
      <w:tr>
        <w:tc>
          <w:tcPr>
            <w:tcW w:type="dxa" w:w="3200"/>
            <w:shd w:fill="F2F2F2" w:val="clear"/>
          </w:tcPr>
          <w:p>
            <w:r>
              <w:rPr>
                <w:b/>
                <w:bCs/>
              </w:rPr>
              <w:t xml:space="preserve">Our FY27</w:t>
            </w:r>
          </w:p>
        </w:tc>
        <w:tc>
          <w:tcPr>
            <w:tcW w:type="dxa" w:w="5800"/>
          </w:tcPr>
          <w:p>
            <w:r>
              <w:t xml:space="preserve">revenue recovery highly conditional on Coromandel/Odisha feedstock normalising; if it doesn't, FY27 could see a second consecutive weak quarter and full-year growth well below FY26's +10.7%</w:t>
            </w:r>
          </w:p>
        </w:tc>
      </w:tr>
      <w:tr>
        <w:tc>
          <w:tcPr>
            <w:tcW w:type="dxa" w:w="3200"/>
            <w:shd w:fill="F2F2F2" w:val="clear"/>
          </w:tcPr>
          <w:p>
            <w:r>
              <w:rPr>
                <w:b/>
                <w:bCs/>
              </w:rPr>
              <w:t xml:space="preserve">Our FY28</w:t>
            </w:r>
          </w:p>
        </w:tc>
        <w:tc>
          <w:tcPr>
            <w:tcW w:type="dxa" w:w="5800"/>
          </w:tcPr>
          <w:p>
            <w:r>
              <w:t xml:space="preserve">if the Alumina Hydrate backward-integration project (or an alternate FSA source) resolves the feedstock constraint, the 24,000 TPA capacity could drive a genuine step-up - but this is unproven and undated</w:t>
            </w:r>
          </w:p>
        </w:tc>
      </w:tr>
      <w:tr>
        <w:tc>
          <w:tcPr>
            <w:tcW w:type="dxa" w:w="3200"/>
            <w:shd w:fill="F2F2F2" w:val="clear"/>
          </w:tcPr>
          <w:p>
            <w:r>
              <w:rPr>
                <w:b/>
                <w:bCs/>
              </w:rPr>
              <w:t xml:space="preserve">Gap direction</w:t>
            </w:r>
          </w:p>
        </w:tc>
        <w:tc>
          <w:tcPr>
            <w:tcW w:type="dxa" w:w="5800"/>
          </w:tcPr>
          <w:p>
            <w:r>
              <w:t xml:space="preserve">partially-priced</w:t>
            </w:r>
          </w:p>
        </w:tc>
      </w:tr>
      <w:tr>
        <w:tc>
          <w:tcPr>
            <w:tcW w:type="dxa" w:w="3200"/>
            <w:shd w:fill="F2F2F2" w:val="clear"/>
          </w:tcPr>
          <w:p>
            <w:r>
              <w:rPr>
                <w:b/>
                <w:bCs/>
              </w:rPr>
              <w:t xml:space="preserve">Gap type</w:t>
            </w:r>
          </w:p>
        </w:tc>
        <w:tc>
          <w:tcPr>
            <w:tcW w:type="dxa" w:w="5800"/>
          </w:tcPr>
          <w:p>
            <w:r>
              <w:t xml:space="preserve">volume</w:t>
            </w:r>
          </w:p>
        </w:tc>
      </w:tr>
      <w:tr>
        <w:tc>
          <w:tcPr>
            <w:tcW w:type="dxa" w:w="3200"/>
            <w:shd w:fill="F2F2F2" w:val="clear"/>
          </w:tcPr>
          <w:p>
            <w:r>
              <w:rPr>
                <w:b/>
                <w:bCs/>
              </w:rPr>
              <w:t xml:space="preserve">Gap magnitude</w:t>
            </w:r>
          </w:p>
        </w:tc>
        <w:tc>
          <w:tcPr>
            <w:tcW w:type="dxa" w:w="5800"/>
          </w:tcPr>
          <w:p>
            <w:r>
              <w:t xml:space="preserve">not estimable</w:t>
            </w:r>
          </w:p>
        </w:tc>
      </w:tr>
      <w:tr>
        <w:tc>
          <w:tcPr>
            <w:tcW w:type="dxa" w:w="3200"/>
            <w:shd w:fill="F2F2F2" w:val="clear"/>
          </w:tcPr>
          <w:p>
            <w:r>
              <w:rPr>
                <w:b/>
                <w:bCs/>
              </w:rPr>
              <w:t xml:space="preserve">Gap basis</w:t>
            </w:r>
          </w:p>
        </w:tc>
        <w:tc>
          <w:tcPr>
            <w:tcW w:type="dxa" w:w="5800"/>
          </w:tcPr>
          <w:p>
            <w:r>
              <w:t xml:space="preserve">the stock is already well off its highs (some caution priced), but the chronic/structural framing of the Coromandel shortfall (vs a one-quarter blip) may not be fully reflected if the market is anchored to the Jan-2026 bull narrative</w:t>
            </w:r>
          </w:p>
        </w:tc>
      </w:tr>
      <w:tr>
        <w:tc>
          <w:tcPr>
            <w:tcW w:type="dxa" w:w="3200"/>
            <w:shd w:fill="F2F2F2" w:val="clear"/>
          </w:tcPr>
          <w:p>
            <w:r>
              <w:rPr>
                <w:b/>
                <w:bCs/>
              </w:rPr>
              <w:t xml:space="preserve">Evidence quality</w:t>
            </w:r>
          </w:p>
        </w:tc>
        <w:tc>
          <w:tcPr>
            <w:tcW w:type="dxa" w:w="5800"/>
          </w:tcPr>
          <w:p>
            <w:r>
              <w:t xml:space="preserve">moderate</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Q2 FY27 results confirming whether Coromandel FSA supply has actually normalised and production/revenue recovers, versus a second consecutive weak quarter</w:t>
      </w:r>
      <w:r>
        <w:rPr>
          <w:color w:val="666666"/>
          <w:sz w:val="18"/>
          <w:szCs w:val="18"/>
        </w:rPr>
        <w:t xml:space="preserve"> (window ~3M from 2026-09-05; undated; evidence low; pending)</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Aluminium Fluoride (AlF3) - critical aluminium-smelter flux, waste-to-wealth import substitution</w:t>
            </w:r>
          </w:p>
        </w:tc>
      </w:tr>
      <w:tr>
        <w:tc>
          <w:tcPr>
            <w:tcW w:type="dxa" w:w="3200"/>
            <w:shd w:fill="F2F2F2" w:val="clear"/>
          </w:tcPr>
          <w:p>
            <w:r>
              <w:rPr>
                <w:b/>
                <w:bCs/>
              </w:rPr>
              <w:t xml:space="preserve">This company's position</w:t>
            </w:r>
          </w:p>
        </w:tc>
        <w:tc>
          <w:tcPr>
            <w:tcW w:type="dxa" w:w="5800"/>
          </w:tcPr>
          <w:p>
            <w:r>
              <w:t xml:space="preserve">one of only two Indian AlF3 producers using the low-cost, Alusuisse-licensed Hydrofluosilicic-Acid (byproduct) route; ~20-25% domestic market share</w:t>
            </w:r>
          </w:p>
        </w:tc>
      </w:tr>
      <w:tr>
        <w:tc>
          <w:tcPr>
            <w:tcW w:type="dxa" w:w="3200"/>
            <w:shd w:fill="F2F2F2" w:val="clear"/>
          </w:tcPr>
          <w:p>
            <w:r>
              <w:rPr>
                <w:b/>
                <w:bCs/>
              </w:rPr>
              <w:t xml:space="preserve">Bottleneck node (pricing power)</w:t>
            </w:r>
          </w:p>
        </w:tc>
        <w:tc>
          <w:tcPr>
            <w:tcW w:type="dxa" w:w="5800"/>
          </w:tcPr>
          <w:p>
            <w:r>
              <w:t xml:space="preserve">FSA (Hydrofluosilicic Acid) feedstock supply - primary contracted supplier Coromandel has chronically under-delivered since inception, forcing costlier/uncertain alternate sourcing from Odisha</w:t>
            </w:r>
          </w:p>
        </w:tc>
      </w:tr>
      <w:tr>
        <w:tc>
          <w:tcPr>
            <w:tcW w:type="dxa" w:w="3200"/>
            <w:shd w:fill="F2F2F2" w:val="clear"/>
          </w:tcPr>
          <w:p>
            <w:r>
              <w:rPr>
                <w:b/>
                <w:bCs/>
              </w:rPr>
              <w:t xml:space="preserve">Supply-side status</w:t>
            </w:r>
          </w:p>
        </w:tc>
        <w:tc>
          <w:tcPr>
            <w:tcW w:type="dxa" w:w="5800"/>
          </w:tcPr>
          <w:p>
            <w:r>
              <w:t xml:space="preserve">consolidating</w:t>
            </w:r>
          </w:p>
        </w:tc>
      </w:tr>
      <w:tr>
        <w:tc>
          <w:tcPr>
            <w:tcW w:type="dxa" w:w="3200"/>
            <w:shd w:fill="F2F2F2" w:val="clear"/>
          </w:tcPr>
          <w:p>
            <w:r>
              <w:rPr>
                <w:b/>
                <w:bCs/>
              </w:rPr>
              <w:t xml:space="preserve">Adjacent-node peers</w:t>
            </w:r>
          </w:p>
        </w:tc>
        <w:tc>
          <w:tcPr>
            <w:tcW w:type="dxa" w:w="5800"/>
          </w:tcPr>
          <w:p>
            <w:r>
              <w:t xml:space="preserve">Greenstar (India's other domestic AlF3 producer), imported AlF3 suppliers, Gujarat Fluorochemicals, Navin Fluorine</w:t>
            </w:r>
          </w:p>
        </w:tc>
      </w:tr>
    </w:tbl>
    <w:p>
      <w:pPr>
        <w:spacing w:after="120"/>
      </w:pPr>
      <w:r>
        <w:rPr>
          <w:color w:val="666666"/>
          <w:sz w:val="18"/>
          <w:szCs w:val="18"/>
        </w:rPr>
        <w:t xml:space="preserve">The product-market structure (2 domestic producers vs 80,000 TPA demand, ~23,000 TPA domestic supply) still strongly favours import substitution, but Q1 FY27 shows the real near-term constraint isn't market demand - it's whether Alufluoride can reliably secure its own low-cost feedstock at the volumes needed to run its newly-expanded 24,000 TPA capacity.</w:t>
      </w:r>
    </w:p>
    <w:p>
      <w:pPr>
        <w:spacing w:after="60" w:before="120"/>
      </w:pPr>
      <w:r>
        <w:rPr>
          <w:b/>
          <w:bCs/>
          <w:sz w:val="20"/>
          <w:szCs w:val="20"/>
        </w:rPr>
        <w:t xml:space="preserve">Earnings quality: </w:t>
      </w:r>
      <w:r>
        <w:rPr>
          <w:sz w:val="20"/>
          <w:szCs w:val="20"/>
        </w:rPr>
        <w:t xml:space="preserve">margin driver cyclical</w:t>
      </w:r>
      <w:r>
        <w:rPr>
          <w:b/>
          <w:bCs/>
          <w:color w:val="A32020"/>
          <w:sz w:val="20"/>
          <w:szCs w:val="20"/>
        </w:rPr>
        <w:t xml:space="preserve"/>
      </w:r>
    </w:p>
    <w:p>
      <w:pPr>
        <w:spacing w:after="120"/>
      </w:pPr>
      <w:r>
        <w:rPr>
          <w:color w:val="666666"/>
          <w:sz w:val="18"/>
          <w:szCs w:val="18"/>
        </w:rPr>
        <w:t xml:space="preserve">Drivers: FSA/Alumina Hydrate feedstock cost and availability volatility; reduced production volume from the Coromandel supply shortfall (Q1 FY27).</w:t>
      </w:r>
    </w:p>
    <w:p>
      <w:pPr>
        <w:spacing w:after="120"/>
      </w:pPr>
      <w:r>
        <w:rPr>
          <w:color w:val="666666"/>
          <w:sz w:val="18"/>
          <w:szCs w:val="18"/>
        </w:rPr>
        <w:t xml:space="preserve">This is not a peak-margin/reversion risk - margins and revenue are currently compressed, not elevated. The risk is input-supply reliability, not a cyclical margin peak unwinding.</w:t>
      </w:r>
    </w:p>
    <w:p>
      <w:pPr>
        <w:spacing w:after="60" w:before="120"/>
      </w:pPr>
      <w:r>
        <w:rPr>
          <w:b/>
          <w:bCs/>
          <w:sz w:val="20"/>
          <w:szCs w:val="20"/>
        </w:rPr>
        <w:t xml:space="preserve">Growth trajectory: </w:t>
      </w:r>
      <w:r>
        <w:rPr>
          <w:b/>
          <w:bCs/>
          <w:color w:val="A32020"/>
          <w:sz w:val="20"/>
          <w:szCs w:val="20"/>
        </w:rPr>
        <w:t xml:space="preserve">YoY growth rate is decelerating</w:t>
      </w:r>
    </w:p>
    <w:p>
      <w:pPr>
        <w:spacing w:after="120"/>
      </w:pPr>
      <w:r>
        <w:rPr>
          <w:color w:val="666666"/>
          <w:sz w:val="18"/>
          <w:szCs w:val="18"/>
        </w:rPr>
        <w:t xml:space="preserve">9M FY26 +18.4% YoY -&gt; FY26 full year +10.7% YoY (deceleration into Q4) -&gt; Q1 FY27 -39.5% YoY (Rs25.97Cr vs Rs42.93Cr) on the Coromandel feedstock shortfall; TTM growth now -4%.</w:t>
      </w:r>
    </w:p>
    <w:p>
      <w:pPr>
        <w:spacing w:after="120"/>
      </w:pPr>
      <w:r>
        <w:rPr>
          <w:color w:val="666666"/>
          <w:sz w:val="18"/>
          <w:szCs w:val="18"/>
        </w:rPr>
        <w:t xml:space="preserve">Reverse P/E: 15.8x P/E already reflects some caution post-Q4-FY26, but may not fully price a since-inception (chronic, not one-off) feedstock-reliability problem if the market is still anchored to the FY26 record-year narrative.</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neutral</w:t>
            </w:r>
          </w:p>
        </w:tc>
      </w:tr>
      <w:tr>
        <w:tc>
          <w:tcPr>
            <w:tcW w:type="dxa" w:w="3200"/>
            <w:shd w:fill="F2F2F2" w:val="clear"/>
          </w:tcPr>
          <w:p>
            <w:r>
              <w:rPr>
                <w:b/>
                <w:bCs/>
              </w:rPr>
              <w:t xml:space="preserve">Capital allocation</w:t>
            </w:r>
          </w:p>
        </w:tc>
        <w:tc>
          <w:tcPr>
            <w:tcW w:type="dxa" w:w="5800"/>
          </w:tcPr>
          <w:p>
            <w:r>
              <w:t xml:space="preserve">Debt-averse, near-net-cash balance sheet; funded the 24,000 TPA expansion and solar capacity largely from internal accruals; consistent, rising dividend (Rs4/share FY26 vs Rs3 FY25) despite a heavy capex year (disciplined)</w:t>
            </w:r>
          </w:p>
        </w:tc>
      </w:tr>
      <w:tr>
        <w:tc>
          <w:tcPr>
            <w:tcW w:type="dxa" w:w="3200"/>
            <w:shd w:fill="F2F2F2" w:val="clear"/>
          </w:tcPr>
          <w:p>
            <w:r>
              <w:rPr>
                <w:b/>
                <w:bCs/>
              </w:rPr>
              <w:t xml:space="preserve">Related-party trend</w:t>
            </w:r>
          </w:p>
        </w:tc>
        <w:tc>
          <w:tcPr>
            <w:tcW w:type="dxa" w:w="5800"/>
          </w:tcPr>
          <w:p>
            <w:r>
              <w:t xml:space="preserve">unclear</w:t>
            </w:r>
          </w:p>
        </w:tc>
      </w:tr>
      <w:tr>
        <w:tc>
          <w:tcPr>
            <w:tcW w:type="dxa" w:w="3200"/>
            <w:shd w:fill="F2F2F2" w:val="clear"/>
          </w:tcPr>
          <w:p>
            <w:r>
              <w:rPr>
                <w:b/>
                <w:bCs/>
              </w:rPr>
              <w:t xml:space="preserve">Guidance credibility</w:t>
            </w:r>
          </w:p>
        </w:tc>
        <w:tc>
          <w:tcPr>
            <w:tcW w:type="dxa" w:w="5800"/>
          </w:tcPr>
          <w:p>
            <w:r>
              <w:t xml:space="preserve">mixed</w:t>
            </w:r>
          </w:p>
        </w:tc>
      </w:tr>
      <w:tr>
        <w:tc>
          <w:tcPr>
            <w:tcW w:type="dxa" w:w="3200"/>
            <w:shd w:fill="F2F2F2" w:val="clear"/>
          </w:tcPr>
          <w:p>
            <w:r>
              <w:rPr>
                <w:b/>
                <w:bCs/>
              </w:rPr>
              <w:t xml:space="preserve">Shareholder returns</w:t>
            </w:r>
          </w:p>
        </w:tc>
        <w:tc>
          <w:tcPr>
            <w:tcW w:type="dxa" w:w="5800"/>
          </w:tcPr>
          <w:p>
            <w:r>
              <w:t xml:space="preserve">consistent</w:t>
            </w:r>
          </w:p>
        </w:tc>
      </w:tr>
      <w:tr>
        <w:tc>
          <w:tcPr>
            <w:tcW w:type="dxa" w:w="3200"/>
            <w:shd w:fill="F2F2F2" w:val="clear"/>
          </w:tcPr>
          <w:p>
            <w:r>
              <w:rPr>
                <w:b/>
                <w:bCs/>
              </w:rPr>
              <w:t xml:space="preserve">Capability ladder / VAP</w:t>
            </w:r>
          </w:p>
        </w:tc>
        <w:tc>
          <w:tcPr>
            <w:tcW w:type="dxa" w:w="5800"/>
          </w:tcPr>
          <w:p>
            <w:r>
              <w:t xml:space="preserve">The planned Alumina Hydrate backward-integration project is an explicit move to control a bottleneck input - a genuine capability-ladder response, though aimed at cost volatility rather than the separate Coromandel supply-volume shortfall, and not yet operational</w:t>
            </w:r>
          </w:p>
        </w:tc>
      </w:tr>
    </w:tbl>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neutral</w:t>
            </w:r>
          </w:p>
        </w:tc>
      </w:tr>
      <w:tr>
        <w:tc>
          <w:tcPr>
            <w:tcW w:type="dxa" w:w="3200"/>
            <w:shd w:fill="F2F2F2" w:val="clear"/>
          </w:tcPr>
          <w:p>
            <w:r>
              <w:rPr>
                <w:b/>
                <w:bCs/>
              </w:rPr>
              <w:t xml:space="preserve">ROCE</w:t>
            </w:r>
          </w:p>
        </w:tc>
        <w:tc>
          <w:tcPr>
            <w:tcW w:type="dxa" w:w="5800"/>
          </w:tcPr>
          <w:p>
            <w:r>
              <w:t xml:space="preserve">24% (stable)</w:t>
            </w:r>
          </w:p>
        </w:tc>
      </w:tr>
      <w:tr>
        <w:tc>
          <w:tcPr>
            <w:tcW w:type="dxa" w:w="3200"/>
            <w:shd w:fill="F2F2F2" w:val="clear"/>
          </w:tcPr>
          <w:p>
            <w:r>
              <w:rPr>
                <w:b/>
                <w:bCs/>
              </w:rPr>
              <w:t xml:space="preserve">Leverage</w:t>
            </w:r>
          </w:p>
        </w:tc>
        <w:tc>
          <w:tcPr>
            <w:tcW w:type="dxa" w:w="5800"/>
          </w:tcPr>
          <w:p>
            <w:r>
              <w:t xml:space="preserve">Net debt/EBITDA -0.2x</w:t>
            </w:r>
          </w:p>
        </w:tc>
      </w:tr>
      <w:tr>
        <w:tc>
          <w:tcPr>
            <w:tcW w:type="dxa" w:w="3200"/>
            <w:shd w:fill="F2F2F2" w:val="clear"/>
          </w:tcPr>
          <w:p>
            <w:r>
              <w:rPr>
                <w:b/>
                <w:bCs/>
              </w:rPr>
              <w:t xml:space="preserve">FCF conversion</w:t>
            </w:r>
          </w:p>
        </w:tc>
        <w:tc>
          <w:tcPr>
            <w:tcW w:type="dxa" w:w="5800"/>
          </w:tcPr>
          <w:p>
            <w:r>
              <w:t xml:space="preserve">-85%</w:t>
            </w:r>
          </w:p>
        </w:tc>
      </w:tr>
      <w:tr>
        <w:tc>
          <w:tcPr>
            <w:tcW w:type="dxa" w:w="3200"/>
            <w:shd w:fill="F2F2F2" w:val="clear"/>
          </w:tcPr>
          <w:p>
            <w:r>
              <w:rPr>
                <w:b/>
                <w:bCs/>
              </w:rPr>
              <w:t xml:space="preserve">Margin trend</w:t>
            </w:r>
          </w:p>
        </w:tc>
        <w:tc>
          <w:tcPr>
            <w:tcW w:type="dxa" w:w="5800"/>
          </w:tcPr>
          <w:p>
            <w:r>
              <w:t xml:space="preserve">contracting</w:t>
            </w:r>
          </w:p>
        </w:tc>
      </w:tr>
      <w:tr>
        <w:tc>
          <w:tcPr>
            <w:tcW w:type="dxa" w:w="3200"/>
            <w:shd w:fill="F2F2F2" w:val="clear"/>
          </w:tcPr>
          <w:p>
            <w:r>
              <w:rPr>
                <w:b/>
                <w:bCs/>
              </w:rPr>
              <w:t xml:space="preserve">Capex efficiency</w:t>
            </w:r>
          </w:p>
        </w:tc>
        <w:tc>
          <w:tcPr>
            <w:tcW w:type="dxa" w:w="5800"/>
          </w:tcPr>
          <w:p>
            <w:r>
              <w:t xml:space="preserve">unclear</w:t>
            </w:r>
          </w:p>
        </w:tc>
      </w:tr>
    </w:tbl>
    <w:p>
      <w:pPr>
        <w:spacing w:after="60" w:before="120"/>
      </w:pPr>
      <w:r>
        <w:rPr>
          <w:b/>
          <w:bCs/>
          <w:sz w:val="20"/>
          <w:szCs w:val="20"/>
        </w:rPr>
        <w:t xml:space="preserve">Track record (Coffee Can persistence check): </w:t>
      </w:r>
      <w:r>
        <w:rPr>
          <w:sz w:val="20"/>
          <w:szCs w:val="20"/>
        </w:rPr>
        <w:t xml:space="preserve">cleared revenue growth ≥10% AND ROCE ≥15% in 2 of the last 3 years (consistency_score 67)</w:t>
      </w:r>
    </w:p>
    <w:p>
      <w:pPr>
        <w:spacing w:after="120"/>
      </w:pPr>
      <w:r>
        <w:rPr>
          <w:color w:val="666666"/>
          <w:sz w:val="18"/>
          <w:szCs w:val="18"/>
        </w:rPr>
        <w:t xml:space="preserve">ROCE cleared 15% in all 3 years reviewed (24%/25%/24%). Revenue growth is confirmed &gt;=10% for FY26 (+10.7%) and the 9M-FY26 run-rate (+18.4%) - both clear. The third year's (~2 years prior) growth rate was not independently confirmed from the sources reviewed this pass, so it is treated conservatively as not cleared despite the strong ROCE that year.</w:t>
      </w:r>
    </w:p>
    <w:p>
      <w:pPr>
        <w:pStyle w:val="Heading1"/>
        <w:spacing w:after="120" w:before="280"/>
      </w:pPr>
      <w:r>
        <w:t xml:space="preserve">Technical Read (Weekly / Monthly MACD + Bollinger Bands, or RSI/CCI/Williams %R proxy)</w:t>
      </w:r>
    </w:p>
    <w:p>
      <w:pPr>
        <w:spacing w:after="120"/>
      </w:pPr>
      <w:r>
        <w:t xml:space="preserve">Not checked -- fundamentals/moat specifics were the primary signal.</w:t>
      </w:r>
    </w:p>
    <w:p>
      <w:pPr>
        <w:pStyle w:val="Heading1"/>
        <w:spacing w:after="120" w:before="280"/>
      </w:pPr>
      <w:r>
        <w:t xml:space="preserve">ValuePickr Community Signal</w:t>
      </w:r>
    </w:p>
    <w:p>
      <w:pPr>
        <w:spacing w:after="120"/>
      </w:pPr>
      <w:r>
        <w:t xml:space="preserve">Read the most recent 15 of 73 posts (thread spans years, low overall activity but with one substantive recent contribution). Historical thread activity includes a mysterious ~20% price jump (Nov 2024) with no public news explaining it, and repeated retail questions about a planned Jordan JV that generated uncertainty for over a year.</w:t>
      </w:r>
    </w:p>
    <w:p>
      <w:pPr>
        <w:spacing w:after="120"/>
      </w:pPr>
      <w:r>
        <w:rPr>
          <w:b/>
          <w:bCs/>
          <w:sz w:val="20"/>
          <w:szCs w:val="20"/>
        </w:rPr>
        <w:t xml:space="preserve">High-conviction call from a top contributor: </w:t>
      </w:r>
      <w:r>
        <w:rPr>
          <w:sz w:val="20"/>
          <w:szCs w:val="20"/>
        </w:rPr>
        <w:t xml:space="preserve">kdjolly (trusted, elevated) posted a detailed, well-sourced executive summary (Jan 2026) reframing the Jordan JV withdrawal (announced most recently, Aug 2026, per company PPT) as a deliberate de-risking move given Gaza-conflict-related Middle East instability, redirecting capital toward a domestic Alumina Hydrate backward-integration project (Rs 40-50 Cr Phase 1 capex, 30,000-50,000 TPA) intended to stabilize input costs and expand margins.</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2026-01-23 — undefined</w:t>
      </w:r>
      <w:r>
        <w:rPr>
          <w:i/>
          <w:iCs/>
          <w:color w:val="666666"/>
          <w:sz w:val="18"/>
          <w:szCs w:val="18"/>
        </w:rPr>
        <w:t xml:space="preserve"/>
      </w:r>
      <w:r>
        <w:rPr>
          <w:sz w:val="20"/>
          <w:szCs w:val="20"/>
        </w:rPr>
        <w:br/>
        <w:t xml:space="preserve">: Detailed bull thesis: ~20-25% domestic AlF3 market share, large import-substitution runway (80,000 TPA demand vs ~23,000 TPA total domestic supply), capacity expansion to 18,000 TPA, captive solar for margin protection, and a domestic Alumina Hydrate backward-integration project to fix input-cost volatility.</w:t>
      </w:r>
    </w:p>
    <w:p>
      <w:pPr>
        <w:pStyle w:val="Heading1"/>
        <w:spacing w:after="120" w:before="280"/>
      </w:pPr>
      <w:r>
        <w:t xml:space="preserve">BSE Corporate Actions / Other Red Flags</w:t>
      </w:r>
    </w:p>
    <w:p>
      <w:pPr>
        <w:spacing w:after="120"/>
      </w:pPr>
      <w:r>
        <w:t xml:space="preserve">Aug 2026 investor PPT confirms Jordan JV exit is complete.</w:t>
      </w:r>
    </w:p>
    <w:p>
      <w:pPr>
        <w:pStyle w:val="Heading1"/>
        <w:spacing w:after="120" w:before="280"/>
      </w:pPr>
      <w:r>
        <w:t xml:space="preserve">Bull Case</w:t>
      </w:r>
    </w:p>
    <w:p>
      <w:pPr>
        <w:pStyle w:val="ListParagraph"/>
        <w:numPr>
          <w:ilvl w:val="0"/>
          <w:numId w:val="1"/>
        </w:numPr>
        <w:spacing w:after="60"/>
      </w:pPr>
      <w:r>
        <w:t xml:space="preserve">Real, quantified import-substitution runway (80,000 TPA India demand vs ~23,000 TPA total domestic supply) in a niche, technically-licensed (Alusuisse) process with only one domestic competitor</w:t>
      </w:r>
    </w:p>
    <w:p>
      <w:pPr>
        <w:pStyle w:val="ListParagraph"/>
        <w:numPr>
          <w:ilvl w:val="0"/>
          <w:numId w:val="1"/>
        </w:numPr>
        <w:spacing w:after="60"/>
      </w:pPr>
      <w:r>
        <w:t xml:space="preserve">Concrete, funded expansion plans (capacity to 18,000 TPA, captive solar for ~85% of energy needs, planned Alumina Hydrate backward integration) all aimed directly at the two things that would drive a re-rating: volume growth and margin stability</w:t>
      </w:r>
    </w:p>
    <w:p>
      <w:pPr>
        <w:pStyle w:val="Heading1"/>
        <w:spacing w:after="120" w:before="280"/>
      </w:pPr>
      <w:r>
        <w:t xml:space="preserve">Bear Case / Key Risks</w:t>
      </w:r>
    </w:p>
    <w:p>
      <w:pPr>
        <w:pStyle w:val="ListParagraph"/>
        <w:numPr>
          <w:ilvl w:val="0"/>
          <w:numId w:val="1"/>
        </w:numPr>
        <w:spacing w:after="60"/>
      </w:pPr>
      <w:r>
        <w:t xml:space="preserve">Feedstock-supply reliability, not just price volatility, is the real near-term risk: Coromandel (the primary contracted FSA supplier, meant to supply 4,000 TPA exclusively) has chronically under-delivered 'since inception' - Q1 FY27 revenue fell ~40% YoY on reduced production as a direct result, and management's hope for recovery 'from the current quarter' is unproven</w:t>
      </w:r>
    </w:p>
    <w:p>
      <w:pPr>
        <w:pStyle w:val="ListParagraph"/>
        <w:numPr>
          <w:ilvl w:val="0"/>
          <w:numId w:val="1"/>
        </w:numPr>
        <w:spacing w:after="60"/>
      </w:pPr>
      <w:r>
        <w:t xml:space="preserve">The new 24,000 TPA capacity (completed Aug 2026) is worth little if feedstock can't be secured at volume - the alternate Odisha source is a workaround, not a proven fix</w:t>
      </w:r>
    </w:p>
    <w:p>
      <w:pPr>
        <w:pStyle w:val="ListParagraph"/>
        <w:numPr>
          <w:ilvl w:val="0"/>
          <w:numId w:val="1"/>
        </w:numPr>
        <w:spacing w:after="60"/>
      </w:pPr>
      <w:r>
        <w:t xml:space="preserve">The backward-integration project (Alumina Hydrate, Rs 40-50 Cr Phase 1) targets input-cost volatility, not this specific supply-volume shortfall - it may not even address the Coromandel problem</w:t>
      </w:r>
    </w:p>
    <w:p>
      <w:pPr>
        <w:pStyle w:val="ListParagraph"/>
        <w:numPr>
          <w:ilvl w:val="0"/>
          <w:numId w:val="1"/>
        </w:numPr>
        <w:spacing w:after="60"/>
      </w:pPr>
      <w:r>
        <w:t xml:space="preserve">Cash conversion weakened sharply in FY26 (OCF/EBITDA-proxy ~125%-&gt;~59%; FCF near-zero) against a large Rs ~59 Cr capex year for the expansion</w:t>
      </w:r>
    </w:p>
    <w:p>
      <w:pPr>
        <w:pStyle w:val="ListParagraph"/>
        <w:numPr>
          <w:ilvl w:val="0"/>
          <w:numId w:val="1"/>
        </w:numPr>
        <w:spacing w:after="60"/>
      </w:pPr>
      <w:r>
        <w:t xml:space="preserve">Very thin trading/community interest (only 73 posts over years, one unexplained ~20% price spike with no public news) means limited independent scrutiny of management's claims - the Jan-2026 bull writeup pre-dates and did not anticipate this Q1 FY27 feedstock disruption</w:t>
      </w:r>
    </w:p>
    <w:p>
      <w:pPr>
        <w:pStyle w:val="Heading1"/>
        <w:spacing w:after="120" w:before="280"/>
      </w:pPr>
      <w:r>
        <w:t xml:space="preserve">Market-Cap Tier (informational — not a gate in this project)</w:t>
      </w:r>
    </w:p>
    <w:p>
      <w:pPr>
        <w:spacing w:after="120"/>
      </w:pPr>
      <w:r>
        <w:rPr>
          <w:b/>
          <w:bCs/>
        </w:rPr>
        <w:t xml:space="preserve">Micro-cap (~Rs 390 Cr)</w:t>
      </w:r>
    </w:p>
    <w:p>
      <w:pPr>
        <w:pStyle w:val="Heading1"/>
        <w:spacing w:after="120" w:before="280"/>
      </w:pPr>
      <w:r>
        <w:t xml:space="preserve">Thesis Fit</w:t>
      </w:r>
    </w:p>
    <w:p>
      <w:pPr>
        <w:spacing w:after="120"/>
      </w:pPr>
      <w:r>
        <w:rPr>
          <w:b/>
          <w:bCs/>
          <w:sz w:val="24"/>
          <w:szCs w:val="24"/>
        </w:rPr>
        <w:t xml:space="preserve">10x-in-2-3-years</w:t>
      </w:r>
    </w:p>
    <w:p>
      <w:pPr>
        <w:spacing w:after="120"/>
      </w:pPr>
      <w:r>
        <w:rPr>
          <w:color w:val="666666"/>
          <w:sz w:val="20"/>
          <w:szCs w:val="20"/>
        </w:rPr>
        <w:t xml:space="preserve">4-box gate — tailwind: yes · TAM: yes · moat: weak · valuation: weak  (score 3 / 4)</w:t>
      </w:r>
    </w:p>
    <w:p>
      <w:pPr>
        <w:spacing w:after="120"/>
      </w:pPr>
      <w:r>
        <w:rPr>
          <w:i/>
          <w:iCs/>
          <w:color w:val="666666"/>
          <w:sz w:val="20"/>
          <w:szCs w:val="20"/>
        </w:rPr>
        <w:t xml:space="preserve">Import-substitution runway (80,000 TPA India demand vs ~23,000 TPA domestic supply) and capacity expansion still support tailwind/tam; moat downgraded to weak this pass - the Alusuisse-licensed low-cost process only works if the FSA feedstock is actually available, and primary supplier Coromandel has chronically under-delivered its contracted quantity since inception, driving a ~40% Q1 FY27 revenue decline. Valuation stays weak - 15.8x P/E with an unresolved supply risk is not obviously cheap.</w:t>
      </w:r>
    </w:p>
    <w:p>
      <w:pPr>
        <w:pStyle w:val="Heading1"/>
        <w:spacing w:after="120" w:before="280"/>
      </w:pPr>
      <w:r>
        <w:t xml:space="preserve">Verdict</w:t>
      </w:r>
    </w:p>
    <w:p>
      <w:pPr>
        <w:spacing w:after="120"/>
      </w:pPr>
      <w:r>
        <w:rPr>
          <w:b/>
          <w:bCs/>
          <w:sz w:val="24"/>
          <w:szCs w:val="24"/>
        </w:rPr>
        <w:t xml:space="preserve">Deep-dive pass 1 finds the moat's key input is not reliably sourceable: Coromandel has chronically under-delivered contracted FSA feedstock, driving a ~40% Q1 FY27 revenue decline - conviction cut to Low-Medium pending proof the shortfall actually resolves</w:t>
      </w:r>
    </w:p>
    <w:p>
      <w:pPr>
        <w:pStyle w:val="ListParagraph"/>
        <w:numPr>
          <w:ilvl w:val="0"/>
          <w:numId w:val="1"/>
        </w:numPr>
        <w:spacing w:after="60"/>
      </w:pPr>
      <w:r>
        <w:t xml:space="preserve">The market-share/demand math (80,000 TPA India demand vs ~23,000 TPA domestic supply) is still real and intact - the import-substitution TAM/tailwind case is unaffected by this pass</w:t>
      </w:r>
    </w:p>
    <w:p>
      <w:pPr>
        <w:pStyle w:val="ListParagraph"/>
        <w:numPr>
          <w:ilvl w:val="0"/>
          <w:numId w:val="1"/>
        </w:numPr>
        <w:spacing w:after="60"/>
      </w:pPr>
      <w:r>
        <w:t xml:space="preserve">But the moat depends on a specific, cheap byproduct feedstock (FSA) being reliably available, and the primary contracted supplier (Coromandel) has chronically under-delivered 'since inception' - not a one-quarter blip. This is new information the Jan-2026 trusted-user writeup did not have visibility into, and it directly caused the Q1 FY27 ~40% revenue decline</w:t>
      </w:r>
    </w:p>
    <w:p>
      <w:pPr>
        <w:pStyle w:val="ListParagraph"/>
        <w:numPr>
          <w:ilvl w:val="0"/>
          <w:numId w:val="1"/>
        </w:numPr>
        <w:spacing w:after="60"/>
      </w:pPr>
      <w:r>
        <w:t xml:space="preserve">four_box moat downgraded yes-&gt;weak (feedstock reliability undercuts the theoretical cost advantage); score 3.5-&gt;3.0, still clearing the &gt;=3.0 threshold so thesis_fit 10x-in-2-3-years is retained, but conviction is set independently</w:t>
      </w:r>
    </w:p>
    <w:p>
      <w:pPr>
        <w:pStyle w:val="ListParagraph"/>
        <w:numPr>
          <w:ilvl w:val="0"/>
          <w:numId w:val="1"/>
        </w:numPr>
        <w:spacing w:after="60"/>
      </w:pPr>
      <w:r>
        <w:t xml:space="preserve">Conviction cut Medium -&gt; Low-Medium: strong balance sheet (net cash, ROCE 24-25% for 3 years) and real TAM, but a currently-unresolved, structurally-described supply bottleneck on the exact input the whole cost-advantage thesis rests on is a real, not cosmetic, risk. Revisit once a post-Q1-FY27 quarter confirms whether the Coromandel/Odisha feedstock situation has actually normalised</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2026-09-05T12:05:50.256Z</dcterms:created>
  <dcterms:modified xsi:type="dcterms:W3CDTF">2026-09-05T12:05:50.262Z</dcterms:modified>
</cp:coreProperties>
</file>

<file path=docProps/custom.xml><?xml version="1.0" encoding="utf-8"?>
<Properties xmlns="http://schemas.openxmlformats.org/officeDocument/2006/custom-properties" xmlns:vt="http://schemas.openxmlformats.org/officeDocument/2006/docPropsVTypes"/>
</file>