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Amara Raja Energy &amp; Mobility Ltd</w:t>
      </w:r>
    </w:p>
    <w:p>
      <w:pPr>
        <w:pBdr>
          <w:bottom w:val="single" w:color="CCCCCC" w:sz="6" w:space="8"/>
        </w:pBdr>
        <w:spacing w:after="200"/>
      </w:pPr>
      <w:r>
        <w:rPr>
          <w:i/>
          <w:iCs/>
          <w:color w:val="666666"/>
          <w:sz w:val="22"/>
          <w:szCs w:val="22"/>
        </w:rPr>
        <w:t xml:space="preserve">Steady lead-acid battery leader with a genuine emerging EV/lithium optionality — including a Chinese tech licensing deal and possible IPO spinoff of the new-energy business</w:t>
      </w:r>
    </w:p>
    <w:p>
      <w:pPr>
        <w:pStyle w:val="Heading1"/>
        <w:spacing w:after="120" w:before="280"/>
      </w:pPr>
      <w:r>
        <w:t xml:space="preserve">Business Overview</w:t>
      </w:r>
    </w:p>
    <w:p>
      <w:pPr>
        <w:spacing w:after="120"/>
      </w:pPr>
      <w:r>
        <w:t xml:space="preserve">Amara Raja is a leading Indian battery manufacturer, still ~96% dependent on its core lead-acid automotive/industrial battery business (growing steadily at 9-12%), but has signed a lithium-iron-phosphate (LFP) technology licensing deal with China's Gotion (a top-5 Chinese, top-10 global battery maker) to build a 16 GWh lithium-ion cell capacity in India, and is reportedly scouting external funding — possibly an IPO — for the new-energy/EV battery business.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16,834 Cr</w:t>
            </w:r>
          </w:p>
        </w:tc>
      </w:tr>
      <w:tr>
        <w:tc>
          <w:tcPr>
            <w:tcW w:type="dxa" w:w="3200"/>
            <w:shd w:fill="F2F2F2" w:val="clear"/>
          </w:tcPr>
          <w:p>
            <w:r>
              <w:rPr>
                <w:b/>
                <w:bCs/>
              </w:rPr>
              <w:t xml:space="preserve">Revenue</w:t>
            </w:r>
          </w:p>
        </w:tc>
        <w:tc>
          <w:tcPr>
            <w:tcW w:type="dxa" w:w="5800"/>
          </w:tcPr>
          <w:p>
            <w:r>
              <w:t xml:space="preserve">Rs 14,240 Cr</w:t>
            </w:r>
          </w:p>
        </w:tc>
      </w:tr>
      <w:tr>
        <w:tc>
          <w:tcPr>
            <w:tcW w:type="dxa" w:w="3200"/>
            <w:shd w:fill="F2F2F2" w:val="clear"/>
          </w:tcPr>
          <w:p>
            <w:r>
              <w:rPr>
                <w:b/>
                <w:bCs/>
              </w:rPr>
              <w:t xml:space="preserve">ROE</w:t>
            </w:r>
          </w:p>
        </w:tc>
        <w:tc>
          <w:tcPr>
            <w:tcW w:type="dxa" w:w="5800"/>
          </w:tcPr>
          <w:p>
            <w:r>
              <w:t xml:space="preserve">11.1% (3-yr, described as low)</w:t>
            </w:r>
          </w:p>
        </w:tc>
      </w:tr>
      <w:tr>
        <w:tc>
          <w:tcPr>
            <w:tcW w:type="dxa" w:w="3200"/>
            <w:shd w:fill="F2F2F2" w:val="clear"/>
          </w:tcPr>
          <w:p>
            <w:r>
              <w:rPr>
                <w:b/>
                <w:bCs/>
              </w:rPr>
              <w:t xml:space="preserve">Revenue CAGR</w:t>
            </w:r>
          </w:p>
        </w:tc>
        <w:tc>
          <w:tcPr>
            <w:tcW w:type="dxa" w:w="5800"/>
          </w:tcPr>
          <w:p>
            <w:r>
              <w:t xml:space="preserve">12.65% (vs industry 5.68%)</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670.00 - Rs 1,057.85</w:t>
            </w:r>
          </w:p>
        </w:tc>
      </w:tr>
    </w:tbl>
    <w:p>
      <w:pPr>
        <w:spacing w:after="100"/>
      </w:pPr>
    </w:p>
    <w:p>
      <w:pPr>
        <w:spacing w:after="120"/>
      </w:pPr>
      <w:r>
        <w:t xml:space="preserve">The core lead-acid business is a steady, real compounder (9-12% revenue growth per Q3 FY25 concall notes, driven by 2W/4W aftermarket and export volumes, though the industrial/telecom segment has been weak, down 25% YoY), with almost no debt. Trailing ROE (11.1%) is on the low side for a genuinely high-quality label, but the more interesting story is optionality: the Gotion LFP licensing deal and a possible EV-battery-business IPO represent a real, near-term catalyst path distinct from the steady core business. Re-verified 2026-08-22: core-business returns remain modest (ROE ~11%) even as revenue growth continues to outpace the industry; the EV/new-energy optionality (Gotion JV) is the more interesting forward lever than the current lead-acid P&amp;L.</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50 of 475+ posts covering the most recent, most substantive stretch of the thread (posts #439-499). This is a well-informed, actively-engaged discussion with multiple trusted users tracking both the core-business fundamentals and the new-energy optionality closely.</w:t>
      </w:r>
    </w:p>
    <w:p>
      <w:pPr>
        <w:spacing w:after="120"/>
      </w:pPr>
      <w:r>
        <w:rPr>
          <w:b/>
          <w:bCs/>
          <w:sz w:val="20"/>
          <w:szCs w:val="20"/>
        </w:rPr>
        <w:t xml:space="preserve">High-conviction call from a top contributor: </w:t>
      </w:r>
      <w:r>
        <w:rPr>
          <w:sz w:val="20"/>
          <w:szCs w:val="20"/>
        </w:rPr>
        <w:t xml:space="preserve">harsh.beria93 (trusted) provided detailed, sourced concall notes on both the Gotion partnership (16 GWh planned lithium-ion capacity, initial 4-6 GWh phase, technology/supply-chain licensing structure) and the core lead-acid business quarter-by-quarter performance — sustained, hands-on diligence rather than a passing mention. Donald (trusted, 35 loves on the highest-engagement post read) shared the original Reuters coverage of the Gotion deal. Chandragupta (trusted) flagged the potentially significant news that Amara Raja is 'scouting for external funding for its EV battery business, may explore an IPO' — a real value-unlock catalyst distinct from the core business.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2024-06 to 2025 (concall period) — harsh.beria93, Donald, Chandragupta (all trusted)</w:t>
      </w:r>
      <w:r>
        <w:rPr>
          <w:i/>
          <w:iCs/>
          <w:color w:val="666666"/>
          <w:sz w:val="18"/>
          <w:szCs w:val="18"/>
        </w:rPr>
        <w:t xml:space="preserve"> (Amara Raja Energy &amp; Mobility company thread)</w:t>
      </w:r>
      <w:r>
        <w:rPr>
          <w:sz w:val="20"/>
          <w:szCs w:val="20"/>
        </w:rPr>
        <w:br/>
        <w:t xml:space="preserve">: harsh.beria93 gave detailed, sourced concall notes across multiple quarters on both the Gotion LFP licensing deal and the core lead-acid business. Donald flagged the original Gotion deal news. Chandragupta flagged a possible EV-battery-business IPO as a fresh value-unlock catalyst. Independently, Vijay_Kiran's (trusted) portfolio-thread mention (1.84% 'TOP 20 Holdings' weight) is the source of this stock's very-high queueing.</w:t>
      </w:r>
    </w:p>
    <w:p>
      <w:pPr>
        <w:pStyle w:val="Heading1"/>
        <w:spacing w:after="120" w:before="280"/>
      </w:pPr>
      <w:r>
        <w:t xml:space="preserve">BSE Corporate Actions / Other Red Flags</w:t>
      </w:r>
    </w:p>
    <w:p>
      <w:pPr>
        <w:spacing w:after="120"/>
      </w:pPr>
      <w:r>
        <w:t xml:space="preserve">No SEBI/regulatory action found.</w:t>
      </w:r>
    </w:p>
    <w:p>
      <w:pPr>
        <w:pStyle w:val="Heading1"/>
        <w:spacing w:after="120" w:before="280"/>
      </w:pPr>
      <w:r>
        <w:t xml:space="preserve">Bull Case</w:t>
      </w:r>
    </w:p>
    <w:p>
      <w:pPr>
        <w:pStyle w:val="ListParagraph"/>
        <w:numPr>
          <w:ilvl w:val="0"/>
          <w:numId w:val="1"/>
        </w:numPr>
        <w:spacing w:after="60"/>
      </w:pPr>
      <w:r>
        <w:t xml:space="preserve">Steady, debt-free core lead-acid business with real double-digit revenue growth, outpacing the broader industry median (12.65% vs 5.68%)</w:t>
      </w:r>
    </w:p>
    <w:p>
      <w:pPr>
        <w:pStyle w:val="ListParagraph"/>
        <w:numPr>
          <w:ilvl w:val="0"/>
          <w:numId w:val="1"/>
        </w:numPr>
        <w:spacing w:after="60"/>
      </w:pPr>
      <w:r>
        <w:t xml:space="preserve">Genuine, concrete optionality catalyst: a real technology-licensing partnership with a top-tier Chinese battery maker (Gotion) for a 16 GWh lithium-ion capacity, not just a stated ambition</w:t>
      </w:r>
    </w:p>
    <w:p>
      <w:pPr>
        <w:pStyle w:val="ListParagraph"/>
        <w:numPr>
          <w:ilvl w:val="0"/>
          <w:numId w:val="1"/>
        </w:numPr>
        <w:spacing w:after="60"/>
      </w:pPr>
      <w:r>
        <w:t xml:space="preserve">A possible IPO/external funding round for the new-energy/EV battery business could unlock value not currently reflected in the core-business valuation, similar to how EV-arm carve-outs have re-rated other auto-ancillary names</w:t>
      </w:r>
    </w:p>
    <w:p>
      <w:pPr>
        <w:pStyle w:val="ListParagraph"/>
        <w:numPr>
          <w:ilvl w:val="0"/>
          <w:numId w:val="1"/>
        </w:numPr>
        <w:spacing w:after="60"/>
      </w:pPr>
      <w:r>
        <w:t xml:space="preserve">Sustained, detailed trusted-user diligence across multiple quarters, not a passing mention</w:t>
      </w:r>
    </w:p>
    <w:p>
      <w:pPr>
        <w:pStyle w:val="Heading1"/>
        <w:spacing w:after="120" w:before="280"/>
      </w:pPr>
      <w:r>
        <w:t xml:space="preserve">Bear Case / Key Risks</w:t>
      </w:r>
    </w:p>
    <w:p>
      <w:pPr>
        <w:pStyle w:val="ListParagraph"/>
        <w:numPr>
          <w:ilvl w:val="0"/>
          <w:numId w:val="1"/>
        </w:numPr>
        <w:spacing w:after="60"/>
      </w:pPr>
      <w:r>
        <w:t xml:space="preserve">At Rs 16,834 Cr market cap, this is already a sizeable mid-cap — a 10x-in-2-3-years case is very difficult to make even with the EV optionality playing out well</w:t>
      </w:r>
    </w:p>
    <w:p>
      <w:pPr>
        <w:pStyle w:val="ListParagraph"/>
        <w:numPr>
          <w:ilvl w:val="0"/>
          <w:numId w:val="1"/>
        </w:numPr>
        <w:spacing w:after="60"/>
      </w:pPr>
      <w:r>
        <w:t xml:space="preserve">Trailing 3-year ROE (11.1%) is on the low side for a genuinely high-quality label; the core business alone is a steady compounder, not a high-return business</w:t>
      </w:r>
    </w:p>
    <w:p>
      <w:pPr>
        <w:pStyle w:val="ListParagraph"/>
        <w:numPr>
          <w:ilvl w:val="0"/>
          <w:numId w:val="1"/>
        </w:numPr>
        <w:spacing w:after="60"/>
      </w:pPr>
      <w:r>
        <w:t xml:space="preserve">Industrial/telecom segment volumes have been notably weak (-25% YoY), a real drag on the otherwise steady core-business growth story</w:t>
      </w:r>
    </w:p>
    <w:p>
      <w:pPr>
        <w:pStyle w:val="ListParagraph"/>
        <w:numPr>
          <w:ilvl w:val="0"/>
          <w:numId w:val="1"/>
        </w:numPr>
        <w:spacing w:after="60"/>
      </w:pPr>
      <w:r>
        <w:t xml:space="preserve">The EV/lithium optionality (Gotion deal, possible IPO) is still early-stage — capacity is only just beginning to ramp (initial 4-6 GWh of a planned 16 GWh), and no confirmed IPO timeline or valuation exists yet</w:t>
      </w:r>
    </w:p>
    <w:p>
      <w:pPr>
        <w:pStyle w:val="Heading1"/>
        <w:spacing w:after="120" w:before="280"/>
      </w:pPr>
      <w:r>
        <w:t xml:space="preserve">Market-Cap Tier (informational — not a gate in this project)</w:t>
      </w:r>
    </w:p>
    <w:p>
      <w:pPr>
        <w:spacing w:after="120"/>
      </w:pPr>
      <w:r>
        <w:rPr>
          <w:b/>
          <w:bCs/>
        </w:rPr>
        <w:t xml:space="preserve">mid-cap</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well-run, trusted, debt-free battery leader with a genuinely interesting EV optionality catalyst — but already too large for the 10x/100x math even with that catalyst playing out</w:t>
      </w:r>
    </w:p>
    <w:p>
      <w:pPr>
        <w:pStyle w:val="ListParagraph"/>
        <w:numPr>
          <w:ilvl w:val="0"/>
          <w:numId w:val="1"/>
        </w:numPr>
        <w:spacing w:after="60"/>
      </w:pPr>
      <w:r>
        <w:t xml:space="preserve">The trusted signal here is substantive and multi-faceted: sustained concall-note diligence (harsh.beria93) on both the steady core business and the emerging Gotion/EV optionality, plus a specific value-unlock catalyst (possible IPO of the new-energy business) flagged by Chandragupta — this is a stronger form of trusted engagement than a passing portfolio mention.</w:t>
      </w:r>
    </w:p>
    <w:p>
      <w:pPr>
        <w:pStyle w:val="ListParagraph"/>
        <w:numPr>
          <w:ilvl w:val="0"/>
          <w:numId w:val="1"/>
        </w:numPr>
        <w:spacing w:after="60"/>
      </w:pPr>
      <w:r>
        <w:t xml:space="preserve">However, at Rs 16,834 Cr market cap with the core business growing at a steady low-double-digit rate and only moderate ROE (11.1%), even a successful EV-optionality unlock is unlikely to deliver a 10x-in-2-3-years outcome for the combined entity — this is a good business with real catalysts, not a multibagger candidate at this size.</w:t>
      </w:r>
    </w:p>
    <w:p>
      <w:pPr>
        <w:pStyle w:val="ListParagraph"/>
        <w:numPr>
          <w:ilvl w:val="0"/>
          <w:numId w:val="1"/>
        </w:numPr>
        <w:spacing w:after="60"/>
      </w:pPr>
      <w:r>
        <w:t xml:space="preserve">No red flag was found, so per the conviction floor for very-high trusted candidates, conviction is set to Medium-High, reflecting both the genuine trusted diligence and the real (if early-stage) EV optionality catalyst.</w:t>
      </w:r>
    </w:p>
    <w:p>
      <w:pPr>
        <w:pStyle w:val="ListParagraph"/>
        <w:numPr>
          <w:ilvl w:val="0"/>
          <w:numId w:val="1"/>
        </w:numPr>
        <w:spacing w:after="60"/>
      </w:pPr>
      <w:r>
        <w:t xml:space="preserve">Worth tracking specifically for developments on the EV-battery-business funding/IPO front, which could change the calculus for that specific carved-out entity even though it doesn't currently support a fresh multibagger thesis on the parent.</w:t>
      </w:r>
    </w:p>
    <w:p>
      <w:pPr>
        <w:pStyle w:val="ListParagraph"/>
        <w:numPr>
          <w:ilvl w:val="0"/>
          <w:numId w:val="1"/>
        </w:numPr>
        <w:spacing w:after="60"/>
      </w:pPr>
      <w:r>
        <w:t xml:space="preserve">Re-verification pass (2026-08-22): source (harsh.beria93) is elevated-tier, not top-tier — no automatic floor. Conviction corrected down from Medium-High to Medium: well-run, debt-free, and genuinely well-covered by multiple trusted users tracking both the core business and the Gotion EV optionality, but core ROE is modest and the company is already too large for this project's extreme-return thesis regardless of the catalyst playing out.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2026-08-22T17:19:19.960Z</dcterms:created>
  <dcterms:modified xsi:type="dcterms:W3CDTF">2026-08-22T17:19:19.961Z</dcterms:modified>
</cp:coreProperties>
</file>

<file path=docProps/custom.xml><?xml version="1.0" encoding="utf-8"?>
<Properties xmlns="http://schemas.openxmlformats.org/officeDocument/2006/custom-properties" xmlns:vt="http://schemas.openxmlformats.org/officeDocument/2006/docPropsVTypes"/>
</file>