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Anant Raj Ltd</w:t>
      </w:r>
    </w:p>
    <w:p>
      <w:pPr>
        <w:pBdr>
          <w:bottom w:val="single" w:color="CCCCCC" w:sz="6" w:space="8"/>
        </w:pBdr>
        <w:spacing w:after="200"/>
      </w:pPr>
      <w:r>
        <w:rPr>
          <w:i/>
          <w:iCs/>
          <w:color w:val="666666"/>
          <w:sz w:val="22"/>
          <w:szCs w:val="22"/>
        </w:rPr>
        <w:t xml:space="preserve">Delhi-NCR real-estate developer re-rated into a ~Rs 22,000 Cr large-cap on a data-centre/cloud narrative that is under-delivering versus guidance, with weak ~10% ROE and repeated capital-allocation credibility concerns around its Rs 1,100 Cr QIP</w:t>
      </w:r>
    </w:p>
    <w:p>
      <w:pPr>
        <w:pStyle w:val="Heading1"/>
        <w:spacing w:after="120" w:before="280"/>
      </w:pPr>
      <w:r>
        <w:t xml:space="preserve">Business Overview</w:t>
      </w:r>
    </w:p>
    <w:p>
      <w:pPr>
        <w:spacing w:after="120"/>
      </w:pPr>
      <w:r>
        <w:t xml:space="preserve">Anant Raj is a real-estate and infrastructure company (Delhi-NCR residential, commercial, hospitality) that has pivoted into data centres and cloud services via Anant Raj Cloud (ACPL). A board-approved scheme merges ARCPL into the listed entity and then demerges the data-centre business into a separate company ('Ashok Cloud'/ACPL) on a 1:1 basis, subject to approvals. Data-centre revenue is still a small fraction of the total.</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21,800 Cr (large-cap)</w:t>
            </w:r>
          </w:p>
        </w:tc>
      </w:tr>
      <w:tr>
        <w:tc>
          <w:tcPr>
            <w:tcW w:type="dxa" w:w="3200"/>
            <w:shd w:fill="F2F2F2" w:val="clear"/>
          </w:tcPr>
          <w:p>
            <w:r>
              <w:rPr>
                <w:b/>
                <w:bCs/>
              </w:rPr>
              <w:t xml:space="preserve">ROCE / ROE</w:t>
            </w:r>
          </w:p>
        </w:tc>
        <w:tc>
          <w:tcPr>
            <w:tcW w:type="dxa" w:w="5800"/>
          </w:tcPr>
          <w:p>
            <w:r>
              <w:t xml:space="preserve">3-yr ROE ~10% (screener flags 'weak' quality / inconsistent track record)</w:t>
            </w:r>
          </w:p>
        </w:tc>
      </w:tr>
      <w:tr>
        <w:tc>
          <w:tcPr>
            <w:tcW w:type="dxa" w:w="3200"/>
            <w:shd w:fill="F2F2F2" w:val="clear"/>
          </w:tcPr>
          <w:p>
            <w:r>
              <w:rPr>
                <w:b/>
                <w:bCs/>
              </w:rPr>
              <w:t xml:space="preserve">Revenue growth</w:t>
            </w:r>
          </w:p>
        </w:tc>
        <w:tc>
          <w:tcPr>
            <w:tcW w:type="dxa" w:w="5800"/>
          </w:tcPr>
          <w:p>
            <w:r>
              <w:t xml:space="preserve">Revenue ~Rs 2,550 Cr, PAT ~Rs 580 Cr; ~25% revenue CAGR; DC revenue only ~Rs 90 Cr in Q1 FY27 vs Rs 1,200 Cr FY27 guidance (brokerages model ~Rs 600 Cr)</w:t>
            </w:r>
          </w:p>
        </w:tc>
      </w:tr>
      <w:tr>
        <w:tc>
          <w:tcPr>
            <w:tcW w:type="dxa" w:w="3200"/>
            <w:shd w:fill="F2F2F2" w:val="clear"/>
          </w:tcPr>
          <w:p>
            <w:r>
              <w:rPr>
                <w:b/>
                <w:bCs/>
              </w:rPr>
              <w:t xml:space="preserve">Margins</w:t>
            </w:r>
          </w:p>
        </w:tc>
        <w:tc>
          <w:tcPr>
            <w:tcW w:type="dxa" w:w="5800"/>
          </w:tcPr>
          <w:p>
            <w:r>
              <w:t xml:space="preserve">Real-estate-led; DC segment sub-scale</w:t>
            </w:r>
          </w:p>
        </w:tc>
      </w:tr>
      <w:tr>
        <w:tc>
          <w:tcPr>
            <w:tcW w:type="dxa" w:w="3200"/>
            <w:shd w:fill="F2F2F2" w:val="clear"/>
          </w:tcPr>
          <w:p>
            <w:r>
              <w:rPr>
                <w:b/>
                <w:bCs/>
              </w:rPr>
              <w:t xml:space="preserve">Cash flow / debt</w:t>
            </w:r>
          </w:p>
        </w:tc>
        <w:tc>
          <w:tcPr>
            <w:tcW w:type="dxa" w:w="5800"/>
          </w:tcPr>
          <w:p>
            <w:r>
              <w:t xml:space="preserve">Rs 1,100 Cr QIP raised (stated for DC growth); ~41% of it actually allocated to DC, rest to debt repayment and land acquisition; promoter holding ~57%</w:t>
            </w:r>
          </w:p>
        </w:tc>
      </w:tr>
      <w:tr>
        <w:tc>
          <w:tcPr>
            <w:tcW w:type="dxa" w:w="3200"/>
            <w:shd w:fill="F2F2F2" w:val="clear"/>
          </w:tcPr>
          <w:p>
            <w:r>
              <w:rPr>
                <w:b/>
                <w:bCs/>
              </w:rPr>
              <w:t xml:space="preserve">Valuation</w:t>
            </w:r>
          </w:p>
        </w:tc>
        <w:tc>
          <w:tcPr>
            <w:tcW w:type="dxa" w:w="5800"/>
          </w:tcPr>
          <w:p>
            <w:r>
              <w:t xml:space="preserve">Rich - priced on the DC optionality; 52-week range Rs 403 - 744</w:t>
            </w:r>
          </w:p>
        </w:tc>
      </w:tr>
    </w:tbl>
    <w:p>
      <w:pPr>
        <w:spacing w:after="100"/>
      </w:pPr>
    </w:p>
    <w:p>
      <w:pPr>
        <w:spacing w:after="120"/>
      </w:pPr>
      <w:r>
        <w:t xml:space="preserve">The valuation embeds a data-centre business that has not yet shown up in the numbers - ~Rs 90 Cr DC revenue in Q1 FY27 against a Rs 1,200 Cr full-year guidance, with brokerages (Nomura) expecting roughly half of guidance on cloud-ramp delays. Core return ratios are weak (~10% ROE, inconsistent history). The bigger issue raised repeatedly on the forum is trust: the Rs 1,100 Cr QIP was pitched as being for data-centre growth, but only ~41% has gone there, with the balance used for debt repayment and real-estate land purchases (management says this is within the filed QIP-utilisation terms). The company still declines to hold earnings conference calls.</w:t>
      </w:r>
    </w:p>
    <w:p>
      <w:pPr>
        <w:pStyle w:val="Heading1"/>
        <w:spacing w:after="120" w:before="280"/>
      </w:pPr>
      <w:r>
        <w:t xml:space="preserve">Technical Read (Weekly / Monthly MACD + Bollinger Bands, or RSI/CCI/Williams %R proxy)</w:t>
      </w:r>
    </w:p>
    <w:p>
      <w:pPr>
        <w:spacing w:after="120"/>
      </w:pPr>
      <w:r>
        <w:t xml:space="preserve">Not independently pulled. Well off its Rs 744 high; the forum's observation is that the stock has not participated even as other 'AI/DC' names re-rated, i.e. the market is discounting the narrative.</w:t>
      </w:r>
    </w:p>
    <w:p>
      <w:pPr>
        <w:pStyle w:val="Heading1"/>
        <w:spacing w:after="120" w:before="280"/>
      </w:pPr>
      <w:r>
        <w:t xml:space="preserve">ValuePickr Community Signal</w:t>
      </w:r>
    </w:p>
    <w:p>
      <w:pPr>
        <w:spacing w:after="120"/>
      </w:pPr>
      <w:r>
        <w:t xml:space="preserve">Read the most recent ~18 of 223 posts (Jun 2026 to Aug 2026). karanshah137 (elevated) tracks the corporate actions closely (ARCPL merger then DC demerger, ACPL share acquisition) and called Q1 FY27 'Decent... but had more expectations' - and is frustrated the company still won't do a conference call. awwwwnuj is the most active analyst and increasingly negative: 'Concerned about management quality... they said the Rs 1,100 Cr QIP would only be used for DC growth but used it for debt repayment and real-estate land acquisition too... Management does not seem to be trustworthy.' vivek_lakhani pushed back on lazy CtrlS-comparison valuations ('comparing apple and pineapple' - CtrlS is pure-play DC, Anant Raj is still mostly real estate, DC &lt;10% of revenue). Naval noted only ~41% of the QIP is going to DC but 'no deviation' from filed documents.</w:t>
      </w:r>
    </w:p>
    <w:p>
      <w:pPr>
        <w:spacing w:after="120"/>
      </w:pPr>
      <w:r>
        <w:rPr>
          <w:b/>
          <w:bCs/>
          <w:sz w:val="20"/>
          <w:szCs w:val="20"/>
        </w:rPr>
        <w:t xml:space="preserve">High-conviction call from a top contributor: </w:t>
      </w:r>
      <w:r>
        <w:rPr>
          <w:sz w:val="20"/>
          <w:szCs w:val="20"/>
        </w:rPr>
        <w:t xml:space="preserve">No high-conviction buy. The active elevated voice (karanshah137) is a tracker, mildly disappointed by Q1 and by the no-concall stance. The most detailed analyst on the thread (awwwwnuj) has moved to explicitly distrusting management on capital allocation.</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2026-08-10 — karanshah137</w:t>
      </w:r>
      <w:r>
        <w:rPr>
          <w:i/>
          <w:iCs/>
          <w:color w:val="666666"/>
          <w:sz w:val="18"/>
          <w:szCs w:val="18"/>
        </w:rPr>
        <w:t xml:space="preserve"> (Anant Raj Limited)</w:t>
      </w:r>
      <w:r>
        <w:rPr>
          <w:sz w:val="20"/>
          <w:szCs w:val="20"/>
        </w:rPr>
        <w:br/>
        <w:t xml:space="preserve">: Called Q1 FY27 'Decent... but had more expectations'; tracks the ARCPL merger / DC demerger corporate actions closely; frustrated the company still refuses to hold a conference call. Tracker, mildly negative - not a buy call.</w:t>
      </w:r>
    </w:p>
    <w:p>
      <w:pPr>
        <w:pStyle w:val="Heading1"/>
        <w:spacing w:after="120" w:before="280"/>
      </w:pPr>
      <w:r>
        <w:t xml:space="preserve">BSE Corporate Actions / Other Red Flags</w:t>
      </w:r>
    </w:p>
    <w:p>
      <w:pPr>
        <w:spacing w:after="120"/>
      </w:pPr>
      <w:r>
        <w:t xml:space="preserve">Board-approved scheme: ARCPL merges into Anant Raj, then the DC business demerges into a separate listed entity (1:1), pending approvals. Rs 1,100 Cr QIP - only ~41% allocated to data centres, remainder to debt repayment and land acquisition; company states this is within filed QIP-utilisation terms (capital-allocation credibility concern, not a defined red-flag tier). Company does not hold earnings conference calls. Data-centre revenue running well below guidance. No SEBI action.</w:t>
      </w:r>
    </w:p>
    <w:p>
      <w:pPr>
        <w:pStyle w:val="Heading1"/>
        <w:spacing w:after="120" w:before="280"/>
      </w:pPr>
      <w:r>
        <w:t xml:space="preserve">Bull Case</w:t>
      </w:r>
    </w:p>
    <w:p>
      <w:pPr>
        <w:pStyle w:val="ListParagraph"/>
        <w:numPr>
          <w:ilvl w:val="0"/>
          <w:numId w:val="1"/>
        </w:numPr>
        <w:spacing w:after="60"/>
      </w:pPr>
      <w:r>
        <w:t xml:space="preserve">Demerger will separate a pure-play data-centre entity, potentially unlocking SOTP value</w:t>
      </w:r>
    </w:p>
    <w:p>
      <w:pPr>
        <w:pStyle w:val="ListParagraph"/>
        <w:numPr>
          <w:ilvl w:val="0"/>
          <w:numId w:val="1"/>
        </w:numPr>
        <w:spacing w:after="60"/>
      </w:pPr>
      <w:r>
        <w:t xml:space="preserve">Real, land-backed NCR real-estate franchise providing cash flow and collateral for the DC build</w:t>
      </w:r>
    </w:p>
    <w:p>
      <w:pPr>
        <w:pStyle w:val="ListParagraph"/>
        <w:numPr>
          <w:ilvl w:val="0"/>
          <w:numId w:val="1"/>
        </w:numPr>
        <w:spacing w:after="60"/>
      </w:pPr>
      <w:r>
        <w:t xml:space="preserve">Data-centre / cloud is a large structural opportunity if execution catches up to guidance</w:t>
      </w:r>
    </w:p>
    <w:p>
      <w:pPr>
        <w:pStyle w:val="ListParagraph"/>
        <w:numPr>
          <w:ilvl w:val="0"/>
          <w:numId w:val="1"/>
        </w:numPr>
        <w:spacing w:after="60"/>
      </w:pPr>
      <w:r>
        <w:t xml:space="preserve">~25% revenue CAGR and ~Rs 580 Cr PAT base</w:t>
      </w:r>
    </w:p>
    <w:p>
      <w:pPr>
        <w:pStyle w:val="Heading1"/>
        <w:spacing w:after="120" w:before="280"/>
      </w:pPr>
      <w:r>
        <w:t xml:space="preserve">Bear Case / Key Risks</w:t>
      </w:r>
    </w:p>
    <w:p>
      <w:pPr>
        <w:pStyle w:val="ListParagraph"/>
        <w:numPr>
          <w:ilvl w:val="0"/>
          <w:numId w:val="1"/>
        </w:numPr>
        <w:spacing w:after="60"/>
      </w:pPr>
      <w:r>
        <w:t xml:space="preserve">Large-cap (~Rs 22,000 Cr) already pricing a DC business that is delivering well below guidance (~Rs 90 Cr/quarter vs Rs 1,200 Cr/year target)</w:t>
      </w:r>
    </w:p>
    <w:p>
      <w:pPr>
        <w:pStyle w:val="ListParagraph"/>
        <w:numPr>
          <w:ilvl w:val="0"/>
          <w:numId w:val="1"/>
        </w:numPr>
        <w:spacing w:after="60"/>
      </w:pPr>
      <w:r>
        <w:t xml:space="preserve">Weak return profile (~10% ROE) and an 'inconsistent multi-year track record'</w:t>
      </w:r>
    </w:p>
    <w:p>
      <w:pPr>
        <w:pStyle w:val="ListParagraph"/>
        <w:numPr>
          <w:ilvl w:val="0"/>
          <w:numId w:val="1"/>
        </w:numPr>
        <w:spacing w:after="60"/>
      </w:pPr>
      <w:r>
        <w:t xml:space="preserve">Capital-allocation credibility gap - QIP raised for DC, ~59% used elsewhere; no earnings calls</w:t>
      </w:r>
    </w:p>
    <w:p>
      <w:pPr>
        <w:pStyle w:val="ListParagraph"/>
        <w:numPr>
          <w:ilvl w:val="0"/>
          <w:numId w:val="1"/>
        </w:numPr>
        <w:spacing w:after="60"/>
      </w:pPr>
      <w:r>
        <w:t xml:space="preserve">A 10x from ~Rs 22,000 Cr is not credible; the narrative is already substantially in the price</w:t>
      </w:r>
    </w:p>
    <w:p>
      <w:pPr>
        <w:pStyle w:val="Heading1"/>
        <w:spacing w:after="120" w:before="280"/>
      </w:pPr>
      <w:r>
        <w:t xml:space="preserve">Market-Cap Tier (informational — not a gate in this project)</w:t>
      </w:r>
    </w:p>
    <w:p>
      <w:pPr>
        <w:spacing w:after="120"/>
      </w:pPr>
      <w:r>
        <w:rPr>
          <w:b/>
          <w:bCs/>
        </w:rPr>
        <w:t xml:space="preserve">Large-cap (~Rs 21,800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'Neither' - a large-cap whose data-centre story is already priced in and is under-delivering, with weak returns and a management the forum's own analysts have stopped trusting on capital allocation</w:t>
      </w:r>
    </w:p>
    <w:p>
      <w:pPr>
        <w:pStyle w:val="ListParagraph"/>
        <w:numPr>
          <w:ilvl w:val="0"/>
          <w:numId w:val="1"/>
        </w:numPr>
        <w:spacing w:after="60"/>
      </w:pPr>
      <w:r>
        <w:t xml:space="preserve">At ~Rs 22,000 Cr with ~10% ROE and DC revenue running at roughly a third of guidance, neither a 10x-in-2-3-years nor a 100x-in-10 outcome is credible - much of the optionality is already in the price</w:t>
      </w:r>
    </w:p>
    <w:p>
      <w:pPr>
        <w:pStyle w:val="ListParagraph"/>
        <w:numPr>
          <w:ilvl w:val="0"/>
          <w:numId w:val="1"/>
        </w:numPr>
        <w:spacing w:after="60"/>
      </w:pPr>
      <w:r>
        <w:t xml:space="preserve">The QIP-utilisation issue (only ~41% to data centres despite the stated purpose) plus the refusal to hold conference calls are governance/credibility negatives repeatedly raised by the most engaged forum members</w:t>
      </w:r>
    </w:p>
    <w:p>
      <w:pPr>
        <w:pStyle w:val="ListParagraph"/>
        <w:numPr>
          <w:ilvl w:val="0"/>
          <w:numId w:val="1"/>
        </w:numPr>
        <w:spacing w:after="60"/>
      </w:pPr>
      <w:r>
        <w:t xml:space="preserve">No trusted-user conviction; the active elevated voice is a mildly-disappointed tracker</w:t>
      </w:r>
    </w:p>
    <w:p>
      <w:pPr>
        <w:pStyle w:val="ListParagraph"/>
        <w:numPr>
          <w:ilvl w:val="0"/>
          <w:numId w:val="1"/>
        </w:numPr>
        <w:spacing w:after="60"/>
      </w:pPr>
      <w:r>
        <w:t xml:space="preserve">No red-flag tier (capital-allocation concern, but within filed terms); no 30-day revisit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2026-08-27T09:51:19.609Z</dcterms:created>
  <dcterms:modified xsi:type="dcterms:W3CDTF">2026-08-27T09:51:19.610Z</dcterms:modified>
</cp:coreProperties>
</file>

<file path=docProps/custom.xml><?xml version="1.0" encoding="utf-8"?>
<Properties xmlns="http://schemas.openxmlformats.org/officeDocument/2006/custom-properties" xmlns:vt="http://schemas.openxmlformats.org/officeDocument/2006/docPropsVTypes"/>
</file>