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Anlon Technology Solutions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Fast-growing airport/firefighting-equipment SME backward-integrating into Make-in-India manufacturing with a Rosenbauer export tie-up - but its own informed followers have retracted the 'moat' thesis as competitors flood every vertical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Anlon Technology Solutions is a ~Rs 490 Cr SME that supplies, installs and services aviation-infrastructure equipment - airport crash-fire tenders, runway rubber-removal and friction-testing machines, sweepers, spares - with airports ~80% of revenue and government/municipal/refinery firefighting the balance. It has moved from pure import-and-service into domestic manufacturing/assembly ('Make in India'), is the India assembly partner for Austria's Rosenbauer (which has now also engaged Anlon to build a series of fire engines for export), and is layering on recurring AMC/spares revenue (~30-45% of topline).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491 Cr (SME/micro-cap)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~16% / ~11%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~0.13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~49% CAGR (5yr); H1 FY26 revenue ~Rs 41.4 Cr (+117% YoY); 9M FY26 topline ~Rs 75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</w:t>
            </w:r>
          </w:p>
        </w:tc>
        <w:tc>
          <w:tcPr>
            <w:tcW w:type="dxa" w:w="5800"/>
          </w:tcPr>
          <w:p>
            <w:r>
              <w:t xml:space="preserve">~Rs 114 Cr as of Jun 2026 (~1x annual revenue), ex-AMC/spares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335 - 748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Growth is genuine and accelerating at the topline (H1 FY26 revenue +117%, manufacturing segment ~42% of revenue), debt is negligible, and the recurring AMC/spares base adds stickiness. But return ratios are only moderate (ROE ~11%), free cash flow has been negative during the manufacturing build-out, debtor days have risen, and the company has done back-to-back dilutive preferential raises (at Rs 398.50, and a further ~Rs 50 Cr). Management's own guidance points to ~Rs 100 Cr+ topline and ~Rs 12-14 Cr PAT (EPS &gt;Rs 20) for FY26.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Stock fell from a ~Rs 748 52-week high to the ~Rs 335 low, sharply de-rating through 2026 as the competitive-moat concerns surfaced in the thread.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full thread (43 posts), Jun 2024 to Aug 2026. Early sentiment (2024-25) was strongly positive - a niche, sticky, first-mover import-substitution play in aviation safety, first-ever concall, ~50% growth for years, Rosenbauer 'exclusive India partner' framing, marquee airport wins (Noida/Jewar 5-year O&amp;M, Guwahati, Lucknow). Through 2026 the most engaged trackers turned cautious. An April 2026 expert-call summary (pkeday) asserted Anlon is NOT Rosenbauer's exclusive AAI partner (a different India partner handles the AAI Rosenbauer fire-truck tenders; Anlon's exposure is indirect via the sub-Rs 200 Cr Make-in-India local-content clause), and that competitors (Gainwell Engineering, NAFFCO, Aryan Pumps) are entering runway rubber-removal, sweepers, fire trucks and waste vehicles. RocketMan and others concluded 'the company doesn't have a meaningful moat... it is just another player, not the dominant one'. Recent quarters (Q1 FY27) are a mixed read: order book crept from ~Rs 110 Cr to ~Rs 114 Cr with only ~Rs 14 Cr of revenue booked, and an Aug 2026 post flags that a jump in the reported order book was largely an accounting change (AMC for the whole contract period now included) rather than genuine inflow. Persistent niggle: the MD's private entity (Anlon IPS Engineering) supplies spares to the listed company.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roster/trusted users. The decision-relevant signal is that the thread's most informed bulls (RocketMan, and to a degree Aakash_Javeri who opened the thread with 13 loves) publicly downgraded the moat thesis during 2026 while still expecting the business to grow. rk1771 (multiple 4-6 love posts) remains the most consistent bull, arguing the AMC/spares flywheel and backward integration are a real, if not monopolistic, competitive advantage.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Related-party transaction: MD Unnikrishnan Nair P M runs Anlon IPS Engineering Pvt Ltd, which supplies spares to the listed company (flagged repeatedly since 2024). Two preferential/QIP-style raises in 2026 (issue price Rs 398.50; a separate ~Rs 50 Cr). Rising debtor days noted in Q3 FY26 and Q1 FY27 commentary. Rosenbauer CEO/leadership plant visits (2026).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Topline compounding ~49% over five years and accelerating (H1 FY26 revenue +117% YoY); manufacturing/assembly now ~42% of revenue with higher stated margins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Backward integration + Rosenbauer manufacturing/export tie-up opens an international revenue channel beyond domestic supply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Recurring AMC/CMC and spares (~30-45% of topline) create a sticky, annuity-like base as the deployed equipment fleet grows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tailwind: more airports, flights and a near-non-existent municipal fire-services base needing large upgrades; very low debt (D/E ~0.13)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Tiny ~Rs 490 Cr base - if the growth sustains and margins step up with manufacturing scale, meaningful upside exists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thread's own informed participants have retracted the moat thesis - competitors (Gainwell, NAFFCO, Aryan Pumps) are entering every Anlon vertical; an expert call disputes the 'exclusive Rosenbauer India partner' claim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moderate return ratios (ROE ~11%), negative free cash flow during the capex ramp, rising debtor days - growth is being part-funded by dilution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2026 preferential raises dilute existing holders; capital-hungry for its size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is only ~1x revenue and barely growing; an Aug 2026 post attributes a reported order-book jump mainly to an AMC-accounting change, not fresh orders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Governance niggle: MD's private company supplies spares to the listed entity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SME/micro-cap liquidity and disclosure risk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SME / micro-cap (~Rs 491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Placed in the 10x frame on the strength of the recent-quarter growth inflection and the manufacturing/export catalyst - but conviction is LOW and explicitly unconfirmed because the competitive-moat case is deteriorating in real time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 the recent-inflection rule, a small-cap with H1 FY26 revenue +117%, a manufacturing ramp to ~42% of revenue and a specific Rosenbauer export catalyst earns a 10x-in-2-3-years tag rather than 'neither', despite a weak multi-year return profile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is LOW / unconfirmed: ROE is only ~11%, FCF has been negative, the company keeps diluting, and - most importantly - the thread's best-informed followers have downgraded the moat thesis as competition enters every vertical and the Rosenbauer exclusivity claim is disputed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in the old 108-stock project. Re-check trigger: two clean quarters of genuine order-book inflow (not accounting reclassification), stable/declining debtor days, no further dilution, and evidence the export orders convert to revenue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2026-08-29T08:22:52.151Z</dcterms:created>
  <dcterms:modified xsi:type="dcterms:W3CDTF">2026-08-29T08:22:52.152Z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