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Annapurna Swadisht Ltd</w:t>
      </w:r>
    </w:p>
    <w:p>
      <w:pPr>
        <w:pBdr>
          <w:bottom w:val="single" w:color="CCCCCC" w:sz="6" w:space="8"/>
        </w:pBdr>
        <w:spacing w:after="200"/>
      </w:pPr>
      <w:r>
        <w:rPr>
          <w:i/>
          <w:iCs/>
          <w:color w:val="666666"/>
          <w:sz w:val="22"/>
          <w:szCs w:val="22"/>
        </w:rPr>
        <w:t xml:space="preserve">Reported high growth undermined by a serious, multi-symptom quality-of-earnings red flag cluster</w:t>
      </w:r>
    </w:p>
    <w:p>
      <w:pPr>
        <w:shd w:fill="FFF0F0" w:val="clear"/>
        <w:spacing w:after="200"/>
      </w:pPr>
      <w:r>
        <w:rPr>
          <w:b/>
          <w:bCs/>
          <w:color w:val="B8860B"/>
          <w:sz w:val="22"/>
          <w:szCs w:val="22"/>
        </w:rPr>
        <w:t xml:space="preserve">RED FLAG TIER: HIGH CAUTION — </w:t>
      </w:r>
      <w:r>
        <w:rPr>
          <w:sz w:val="20"/>
          <w:szCs w:val="20"/>
        </w:rPr>
        <w:t xml:space="preserve">Multiple independently-corroborated concerns (2yr negative operating cash flow despite reported profits, promoter pledge spiking 4%-&gt;53% in months, CFO resignation, disputed acquisition financials, explicit community comparison to a known accounting-fraud case) collectively warrant high caution even though no single item meets the AVOID/EXCLUDE bar on its own.</w:t>
      </w:r>
    </w:p>
    <w:p>
      <w:pPr>
        <w:pStyle w:val="Heading1"/>
        <w:spacing w:after="120" w:before="280"/>
      </w:pPr>
      <w:r>
        <w:t xml:space="preserve">Business Overview</w:t>
      </w:r>
    </w:p>
    <w:p>
      <w:pPr>
        <w:spacing w:after="120"/>
      </w:pPr>
      <w:r>
        <w:t xml:space="preserve">Annapurna Swadisht manufactures snacks and confectionery (fryums, namkeen, chips, candies) under the Annapurna and Madhur Confectioners brands, recently migrated from the NSE SME board to the main board.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351 Cr</w:t>
            </w:r>
          </w:p>
        </w:tc>
      </w:tr>
      <w:tr>
        <w:tc>
          <w:tcPr>
            <w:tcW w:type="dxa" w:w="3200"/>
            <w:shd w:fill="F2F2F2" w:val="clear"/>
          </w:tcPr>
          <w:p>
            <w:r>
              <w:rPr>
                <w:b/>
                <w:bCs/>
              </w:rPr>
              <w:t xml:space="preserve">ROE</w:t>
            </w:r>
          </w:p>
        </w:tc>
        <w:tc>
          <w:tcPr>
            <w:tcW w:type="dxa" w:w="5800"/>
          </w:tcPr>
          <w:p>
            <w:r>
              <w:t xml:space="preserve">8.56%</w:t>
            </w:r>
          </w:p>
        </w:tc>
      </w:tr>
      <w:tr>
        <w:tc>
          <w:tcPr>
            <w:tcW w:type="dxa" w:w="3200"/>
            <w:shd w:fill="F2F2F2" w:val="clear"/>
          </w:tcPr>
          <w:p>
            <w:r>
              <w:rPr>
                <w:b/>
                <w:bCs/>
              </w:rPr>
              <w:t xml:space="preserve">ROCE</w:t>
            </w:r>
          </w:p>
        </w:tc>
        <w:tc>
          <w:tcPr>
            <w:tcW w:type="dxa" w:w="5800"/>
          </w:tcPr>
          <w:p>
            <w:r>
              <w:t xml:space="preserve">12.0%</w:t>
            </w:r>
          </w:p>
        </w:tc>
      </w:tr>
      <w:tr>
        <w:tc>
          <w:tcPr>
            <w:tcW w:type="dxa" w:w="3200"/>
            <w:shd w:fill="F2F2F2" w:val="clear"/>
          </w:tcPr>
          <w:p>
            <w:r>
              <w:rPr>
                <w:b/>
                <w:bCs/>
              </w:rPr>
              <w:t xml:space="preserve">Debt</w:t>
            </w:r>
          </w:p>
        </w:tc>
        <w:tc>
          <w:tcPr>
            <w:tcW w:type="dxa" w:w="5800"/>
          </w:tcPr>
          <w:p>
            <w:r>
              <w:t xml:space="preserve">Not directly quantified; negative operating cash flow reported for 2 consecutive years despite reported profit growth</w:t>
            </w:r>
          </w:p>
        </w:tc>
      </w:tr>
      <w:tr>
        <w:tc>
          <w:tcPr>
            <w:tcW w:type="dxa" w:w="3200"/>
            <w:shd w:fill="F2F2F2" w:val="clear"/>
          </w:tcPr>
          <w:p>
            <w:r>
              <w:rPr>
                <w:b/>
                <w:bCs/>
              </w:rPr>
              <w:t xml:space="preserve">Revenue growth</w:t>
            </w:r>
          </w:p>
        </w:tc>
        <w:tc>
          <w:tcPr>
            <w:tcW w:type="dxa" w:w="5800"/>
          </w:tcPr>
          <w:p>
            <w:r>
              <w:t xml:space="preserve">Reported ~121% profit CAGR over 5yr, though standalone revenue growth (ex-Madhur acquisition) was flagged by the community as a more moderate ~15% YoY in one quarter</w:t>
            </w:r>
          </w:p>
        </w:tc>
      </w:tr>
      <w:tr>
        <w:tc>
          <w:tcPr>
            <w:tcW w:type="dxa" w:w="3200"/>
            <w:shd w:fill="F2F2F2" w:val="clear"/>
          </w:tcPr>
          <w:p>
            <w:r>
              <w:rPr>
                <w:b/>
                <w:bCs/>
              </w:rPr>
              <w:t xml:space="preserve">52-week range</w:t>
            </w:r>
          </w:p>
        </w:tc>
        <w:tc>
          <w:tcPr>
            <w:tcW w:type="dxa" w:w="5800"/>
          </w:tcPr>
          <w:p>
            <w:r>
              <w:t xml:space="preserve">Rs 120.75 - 287.00</w:t>
            </w:r>
          </w:p>
        </w:tc>
      </w:tr>
    </w:tbl>
    <w:p>
      <w:pPr>
        <w:spacing w:after="100"/>
      </w:pPr>
    </w:p>
    <w:p>
      <w:pPr>
        <w:spacing w:after="120"/>
      </w:pPr>
      <w:r>
        <w:t xml:space="preserve">Headline growth numbers look strong, but multiple community members raised a cluster of quality-of-earnings concerns that together are more serious than any single one: negative operating cash flow for 2 straight years despite reported profitability, a promoter share pledge that spiked from 4% (Sept 2024) to 53% (March 2025) in a matter of months, a CFO resignation, unusual related-party loans/advances (~Rs 61 Cr by Sep 2024, up from Rs 28.5 Cr), and an acquisition (Madhur Confectioners) whose historical financials and incorporation-date claims were directly disputed by posters citing Tracxn data.</w:t>
      </w:r>
    </w:p>
    <w:p>
      <w:pPr>
        <w:pStyle w:val="Heading1"/>
        <w:spacing w:after="120" w:before="280"/>
      </w:pPr>
      <w:r>
        <w:t xml:space="preserve">Technical Read (Weekly / Monthly MACD + Bollinger Bands, or RSI/CCI/Williams %R proxy)</w:t>
      </w:r>
    </w:p>
    <w:p>
      <w:pPr>
        <w:spacing w:after="120"/>
      </w:pPr>
      <w:r>
        <w:t xml:space="preserve">Not checked -- the fundamental/governance red flags were decisive.</w:t>
      </w:r>
    </w:p>
    <w:p>
      <w:pPr>
        <w:pStyle w:val="Heading1"/>
        <w:spacing w:after="120" w:before="280"/>
      </w:pPr>
      <w:r>
        <w:t xml:space="preserve">ValuePickr Community Signal</w:t>
      </w:r>
    </w:p>
    <w:p>
      <w:pPr>
        <w:spacing w:after="120"/>
      </w:pPr>
      <w:r>
        <w:t xml:space="preserve">Read most recent 50 of 157 posts (single batch). The thread contains an extended, detailed skeptical investigation: one poster (ankitpa13, 9 loves on a key post) explicitly compared the company to Manpasand Beverages, a well-known Indian accounting-fraud case, citing lack of any verifiable offline retail presence. Another poster (binay1702) did local scuttlebutt near the company's Asansol plant and reported 'so many negative inputs.' Some countervailing positive signals also exist: insider/promoter buying was reported in March 2025 and June 2026, and the company just held its first-ever earnings concall (scheduled 24 Aug 2026) after migrating to the main board -- a incremental transparency improvement.</w:t>
      </w:r>
    </w:p>
    <w:p>
      <w:pPr>
        <w:spacing w:after="120"/>
      </w:pPr>
      <w:r>
        <w:rPr>
          <w:b/>
          <w:bCs/>
          <w:sz w:val="20"/>
          <w:szCs w:val="20"/>
        </w:rPr>
        <w:t xml:space="preserve">High-conviction call from a top contributor: </w:t>
      </w:r>
      <w:r>
        <w:rPr>
          <w:sz w:val="20"/>
          <w:szCs w:val="20"/>
        </w:rPr>
        <w:t xml:space="preserve">Two trusted-roster users (sougataG, Ghonarbochon -- both elevated) participated but did not stake a clear conviction call either way; sougataG reported that an FMCG-industry contact had never heard of the company (a mild negative), while Ghonarbochon pushed back on one specific skeptic argument (Tracxn incorporation date) without endorsing the stock overall. Neither constitutes a trusted conviction signal.</w:t>
      </w:r>
    </w:p>
    <w:p>
      <w:pPr>
        <w:pStyle w:val="Heading1"/>
        <w:spacing w:after="120" w:before="280"/>
      </w:pPr>
      <w:r>
        <w:t xml:space="preserve">BSE Corporate Actions / Other Red Flags</w:t>
      </w:r>
    </w:p>
    <w:p>
      <w:pPr>
        <w:spacing w:after="120"/>
      </w:pPr>
      <w:r>
        <w:t xml:space="preserve">Not checked beyond what's in the thread (promoter pledge 4%-&gt;53% spike, per community-cited shareholding disclosures).</w:t>
      </w:r>
    </w:p>
    <w:p>
      <w:pPr>
        <w:pStyle w:val="Heading1"/>
        <w:spacing w:after="120" w:before="280"/>
      </w:pPr>
      <w:r>
        <w:t xml:space="preserve">Bull Case</w:t>
      </w:r>
    </w:p>
    <w:p>
      <w:pPr>
        <w:pStyle w:val="ListParagraph"/>
        <w:numPr>
          <w:ilvl w:val="0"/>
          <w:numId w:val="1"/>
        </w:numPr>
        <w:spacing w:after="60"/>
      </w:pPr>
      <w:r>
        <w:t xml:space="preserve">Reported multi-year profit CAGR (~121%) and recent insider/promoter buying (March 2025, June 2026) suggest some genuine growth and management confidence</w:t>
      </w:r>
    </w:p>
    <w:p>
      <w:pPr>
        <w:pStyle w:val="ListParagraph"/>
        <w:numPr>
          <w:ilvl w:val="0"/>
          <w:numId w:val="1"/>
        </w:numPr>
        <w:spacing w:after="60"/>
      </w:pPr>
      <w:r>
        <w:t xml:space="preserve">First-ever earnings concall now scheduled (Aug 24, 2026) after main-board migration -- a real, if overdue, transparency improvement that could resolve some open questions</w:t>
      </w:r>
    </w:p>
    <w:p>
      <w:pPr>
        <w:pStyle w:val="Heading1"/>
        <w:spacing w:after="120" w:before="280"/>
      </w:pPr>
      <w:r>
        <w:t xml:space="preserve">Bear Case / Key Risks</w:t>
      </w:r>
    </w:p>
    <w:p>
      <w:pPr>
        <w:pStyle w:val="ListParagraph"/>
        <w:numPr>
          <w:ilvl w:val="0"/>
          <w:numId w:val="1"/>
        </w:numPr>
        <w:spacing w:after="60"/>
      </w:pPr>
      <w:r>
        <w:t xml:space="preserve">A cluster of independently-raised red flags -- 2 years of negative operating cash flow despite reported profits, a promoter pledge spike from 4% to 53% in months, a CFO resignation, unusual related-party loans, and disputed acquisition financials -- collectively resemble patterns from known accounting-fraud cases, as multiple posters explicitly noted (Manpasand Beverages comparison)</w:t>
      </w:r>
    </w:p>
    <w:p>
      <w:pPr>
        <w:pStyle w:val="ListParagraph"/>
        <w:numPr>
          <w:ilvl w:val="0"/>
          <w:numId w:val="1"/>
        </w:numPr>
        <w:spacing w:after="60"/>
      </w:pPr>
      <w:r>
        <w:t xml:space="preserve">No management concalls existed until very recently, meaning none of these concerns have had a chance to be addressed by the company directly</w:t>
      </w:r>
    </w:p>
    <w:p>
      <w:pPr>
        <w:pStyle w:val="Heading1"/>
        <w:spacing w:after="120" w:before="280"/>
      </w:pPr>
      <w:r>
        <w:t xml:space="preserve">Market-Cap Tier (informational — not a gate in this project)</w:t>
      </w:r>
    </w:p>
    <w:p>
      <w:pPr>
        <w:spacing w:after="120"/>
      </w:pPr>
      <w:r>
        <w:rPr>
          <w:b/>
          <w:bCs/>
        </w:rPr>
        <w:t xml:space="preserve">Small-cap (~Rs 351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Growth story overshadowed by an unresolved cluster of quality-of-earnings and governance red flags</w:t>
      </w:r>
    </w:p>
    <w:p>
      <w:pPr>
        <w:pStyle w:val="ListParagraph"/>
        <w:numPr>
          <w:ilvl w:val="0"/>
          <w:numId w:val="1"/>
        </w:numPr>
        <w:spacing w:after="60"/>
      </w:pPr>
      <w:r>
        <w:t xml:space="preserve">Individually, negative cash flow, a pledge spike, and a CFO exit might each be explainable, but their simultaneous occurrence alongside disputed acquisition history and an explicit fraud comparison from an experienced community member crosses this project's quality gate</w:t>
      </w:r>
    </w:p>
    <w:p>
      <w:pPr>
        <w:pStyle w:val="ListParagraph"/>
        <w:numPr>
          <w:ilvl w:val="0"/>
          <w:numId w:val="1"/>
        </w:numPr>
        <w:spacing w:after="60"/>
      </w:pPr>
      <w:r>
        <w:t xml:space="preserve">The upcoming first-ever concall (Aug 24, 2026) is worth revisiting in a future run, but until management directly addresses the cash-flow and pledge concerns, this does not clear the bar for the outsized-return thesis regardless of headline growth</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2026-08-25T13:57:47.608Z</dcterms:created>
  <dcterms:modified xsi:type="dcterms:W3CDTF">2026-08-25T13:57:47.614Z</dcterms:modified>
</cp:coreProperties>
</file>

<file path=docProps/custom.xml><?xml version="1.0" encoding="utf-8"?>
<Properties xmlns="http://schemas.openxmlformats.org/officeDocument/2006/custom-properties" xmlns:vt="http://schemas.openxmlformats.org/officeDocument/2006/docPropsVTypes"/>
</file>