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Arham Technologies Ltd</w:t>
      </w:r>
    </w:p>
    <w:p>
      <w:pPr>
        <w:pBdr>
          <w:bottom w:val="single" w:color="CCCCCC" w:sz="6" w:space="8"/>
        </w:pBdr>
        <w:spacing w:after="200"/>
      </w:pPr>
      <w:r>
        <w:rPr>
          <w:i/>
          <w:iCs/>
          <w:color w:val="666666"/>
          <w:sz w:val="22"/>
          <w:szCs w:val="22"/>
        </w:rPr>
        <w:t xml:space="preserve">Raipur-based consumer-appliance OEM and own-brand maker (Smart LED TVs, fans, coolers, washing machines) that grew revenue ~70% to ~Rs 119 Cr in FY26 and is migrating from NSE Emerge to the main board - but it is a low-value-add assembly business at ~33x earnings after a 103% run, with 177 debtor days</w:t>
      </w:r>
    </w:p>
    <w:p>
      <w:pPr>
        <w:pStyle w:val="Heading1"/>
        <w:spacing w:after="120" w:before="280"/>
      </w:pPr>
      <w:r>
        <w:t xml:space="preserve">Business Overview</w:t>
      </w:r>
    </w:p>
    <w:p>
      <w:pPr>
        <w:spacing w:after="120"/>
      </w:pPr>
      <w:r>
        <w:t xml:space="preserve">Arham Technologies (incorporated 2013, NSE SME Emerge listed Dec 2022) manufactures Smart LED TVs, ceiling fans, air coolers, washing machines, mixer grinders and other consumer appliances, both as an OEM and under its own STARSHINE (premium) and ARATTON (mass-market) brands. Sovrenn Daily News seed (2026-09-02); Sovrenn trigger: board approval to migrate the listing from NSE Emerge (SME) to the NSE Main Board.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445 Cr (NSE Emerge, migrating to main board); P/E ~33x; up ~103% in a year</w:t>
            </w:r>
          </w:p>
        </w:tc>
      </w:tr>
      <w:tr>
        <w:tc>
          <w:tcPr>
            <w:tcW w:type="dxa" w:w="3200"/>
            <w:shd w:fill="F2F2F2" w:val="clear"/>
          </w:tcPr>
          <w:p>
            <w:r>
              <w:rPr>
                <w:b/>
                <w:bCs/>
              </w:rPr>
              <w:t xml:space="preserve">Revenue (FY26)</w:t>
            </w:r>
          </w:p>
        </w:tc>
        <w:tc>
          <w:tcPr>
            <w:tcW w:type="dxa" w:w="5800"/>
          </w:tcPr>
          <w:p>
            <w:r>
              <w:t xml:space="preserve">~Rs 118.6 Cr (+~70% YoY from ~Rs 69.9 Cr)</w:t>
            </w:r>
          </w:p>
        </w:tc>
      </w:tr>
      <w:tr>
        <w:tc>
          <w:tcPr>
            <w:tcW w:type="dxa" w:w="3200"/>
            <w:shd w:fill="F2F2F2" w:val="clear"/>
          </w:tcPr>
          <w:p>
            <w:r>
              <w:rPr>
                <w:b/>
                <w:bCs/>
              </w:rPr>
              <w:t xml:space="preserve">Profit (FY26)</w:t>
            </w:r>
          </w:p>
        </w:tc>
        <w:tc>
          <w:tcPr>
            <w:tcW w:type="dxa" w:w="5800"/>
          </w:tcPr>
          <w:p>
            <w:r>
              <w:t xml:space="preserve">PAT ~Rs 12.2 Cr (+67.8% YoY); EBITDA ~Rs 19.0 Cr (+50% YoY)</w:t>
            </w:r>
          </w:p>
        </w:tc>
      </w:tr>
      <w:tr>
        <w:tc>
          <w:tcPr>
            <w:tcW w:type="dxa" w:w="3200"/>
            <w:shd w:fill="F2F2F2" w:val="clear"/>
          </w:tcPr>
          <w:p>
            <w:r>
              <w:rPr>
                <w:b/>
                <w:bCs/>
              </w:rPr>
              <w:t xml:space="preserve">Promoter</w:t>
            </w:r>
          </w:p>
        </w:tc>
        <w:tc>
          <w:tcPr>
            <w:tcW w:type="dxa" w:w="5800"/>
          </w:tcPr>
          <w:p>
            <w:r>
              <w:t xml:space="preserve">~72.4%, no encumbrance</w:t>
            </w:r>
          </w:p>
        </w:tc>
      </w:tr>
      <w:tr>
        <w:tc>
          <w:tcPr>
            <w:tcW w:type="dxa" w:w="3200"/>
            <w:shd w:fill="F2F2F2" w:val="clear"/>
          </w:tcPr>
          <w:p>
            <w:r>
              <w:rPr>
                <w:b/>
                <w:bCs/>
              </w:rPr>
              <w:t xml:space="preserve">Working capital</w:t>
            </w:r>
          </w:p>
        </w:tc>
        <w:tc>
          <w:tcPr>
            <w:tcW w:type="dxa" w:w="5800"/>
          </w:tcPr>
          <w:p>
            <w:r>
              <w:t xml:space="preserve">Debtor days ~177 - high; working-capital-heavy</w:t>
            </w:r>
          </w:p>
        </w:tc>
      </w:tr>
      <w:tr>
        <w:tc>
          <w:tcPr>
            <w:tcW w:type="dxa" w:w="3200"/>
            <w:shd w:fill="F2F2F2" w:val="clear"/>
          </w:tcPr>
          <w:p>
            <w:r>
              <w:rPr>
                <w:b/>
                <w:bCs/>
              </w:rPr>
              <w:t xml:space="preserve">Sovrenn trigger</w:t>
            </w:r>
          </w:p>
        </w:tc>
        <w:tc>
          <w:tcPr>
            <w:tcW w:type="dxa" w:w="5800"/>
          </w:tcPr>
          <w:p>
            <w:r>
              <w:t xml:space="preserve">NSE Emerge -&gt; Main Board migration approved - a liquidity / re-rating event, not a fundamental catalyst</w:t>
            </w:r>
          </w:p>
        </w:tc>
      </w:tr>
    </w:tbl>
    <w:p>
      <w:pPr>
        <w:spacing w:after="100"/>
      </w:pPr>
    </w:p>
    <w:p>
      <w:pPr>
        <w:spacing w:after="120"/>
      </w:pPr>
      <w:r>
        <w:t xml:space="preserve">Revenue up ~70% and PAT up ~68% in FY26 on stronger appliance demand and deeper distribution, with a clean promoter holding (~72%, no pledge) and a main-board move coming. But the business itself is low-value-add appliance assembly / OEM with own brands that are not established outside the region - a fiercely competitive segment with thin, volatile margins, component-import exposure to China, and no real moat. Working capital is heavy (177 debtor days, a channel-stuffing / collection risk), and at ~33x earnings after a 103% one-year run the growth is already in the price. The Sovrenn trigger is only a listing migration. No VP thread.</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consumer electronics / appliances OEM + private brands (import substitution)</w:t>
            </w:r>
          </w:p>
        </w:tc>
      </w:tr>
      <w:tr>
        <w:tc>
          <w:tcPr>
            <w:tcW w:type="dxa" w:w="3200"/>
            <w:shd w:fill="F2F2F2" w:val="clear"/>
          </w:tcPr>
          <w:p>
            <w:r>
              <w:rPr>
                <w:b/>
                <w:bCs/>
              </w:rPr>
              <w:t xml:space="preserve">This company's position</w:t>
            </w:r>
          </w:p>
        </w:tc>
        <w:tc>
          <w:tcPr>
            <w:tcW w:type="dxa" w:w="5800"/>
          </w:tcPr>
          <w:p>
            <w:r>
              <w:t xml:space="preserve">regional appliance OEM plus own mass (ARATTON) and premium (STARSHINE) brands</w:t>
            </w:r>
          </w:p>
        </w:tc>
      </w:tr>
      <w:tr>
        <w:tc>
          <w:tcPr>
            <w:tcW w:type="dxa" w:w="3200"/>
            <w:shd w:fill="F2F2F2" w:val="clear"/>
          </w:tcPr>
          <w:p>
            <w:r>
              <w:rPr>
                <w:b/>
                <w:bCs/>
              </w:rPr>
              <w:t xml:space="preserve">Bottleneck node (pricing power)</w:t>
            </w:r>
          </w:p>
        </w:tc>
        <w:tc>
          <w:tcPr>
            <w:tcW w:type="dxa" w:w="5800"/>
          </w:tcPr>
          <w:p>
            <w:r>
              <w:t xml:space="preserve">brand pull + component sourcing cost; no proprietary technology</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Dixon Technologies, PG Electroplast, Amber Enterprises, EPACK Durable</w:t>
            </w:r>
          </w:p>
        </w:tc>
      </w:tr>
    </w:tbl>
    <w:p>
      <w:pPr>
        <w:spacing w:after="120"/>
      </w:pPr>
      <w:r>
        <w:rPr>
          <w:color w:val="666666"/>
          <w:sz w:val="18"/>
          <w:szCs w:val="18"/>
        </w:rPr>
        <w:t xml:space="preserve">Low-margin assembly layer of the appliance chain; the larger listed peers have scale and anchor-customer relationships Arham lacks.</w:t>
      </w:r>
    </w:p>
    <w:p>
      <w:pPr>
        <w:pStyle w:val="Heading1"/>
        <w:spacing w:after="120" w:before="280"/>
      </w:pPr>
      <w:r>
        <w:t xml:space="preserve">Technical Read (Weekly / Monthly MACD + Bollinger Bands, or RSI/CCI/Williams %R proxy)</w:t>
      </w:r>
    </w:p>
    <w:p>
      <w:pPr>
        <w:spacing w:after="120"/>
      </w:pPr>
      <w:r>
        <w:t xml:space="preserve">Not pulled. Up ~103% over the year; NSE Emerge SME.</w:t>
      </w:r>
    </w:p>
    <w:p>
      <w:pPr>
        <w:pStyle w:val="Heading1"/>
        <w:spacing w:after="120" w:before="280"/>
      </w:pPr>
      <w:r>
        <w:t xml:space="preserve">ValuePickr Community Signal</w:t>
      </w:r>
    </w:p>
    <w:p>
      <w:pPr>
        <w:spacing w:after="120"/>
      </w:pPr>
      <w:r>
        <w:t xml:space="preserve">No ValuePickr thread. Web/filings/news-only: FY26 results (revenue Rs 118.6 Cr +70%, PAT Rs 12.2 Cr +68%, EBITDA Rs 19.0 Cr +50%), the main-board migration approval, and a promoter no-encumbrance confirmation.</w:t>
      </w:r>
    </w:p>
    <w:p>
      <w:pPr>
        <w:spacing w:after="120"/>
      </w:pPr>
      <w:r>
        <w:rPr>
          <w:b/>
          <w:bCs/>
          <w:sz w:val="20"/>
          <w:szCs w:val="20"/>
        </w:rPr>
        <w:t xml:space="preserve">High-conviction call from a top contributor: </w:t>
      </w:r>
      <w:r>
        <w:rPr>
          <w:sz w:val="20"/>
          <w:szCs w:val="20"/>
        </w:rPr>
        <w:t xml:space="preserve">None available.</w:t>
      </w:r>
    </w:p>
    <w:p>
      <w:pPr>
        <w:pStyle w:val="Heading1"/>
        <w:spacing w:after="120" w:before="280"/>
      </w:pPr>
      <w:r>
        <w:t xml:space="preserve">BSE Corporate Actions / Other Red Flags</w:t>
      </w:r>
    </w:p>
    <w:p>
      <w:pPr>
        <w:spacing w:after="120"/>
      </w:pPr>
      <w:r>
        <w:t xml:space="preserve">No SEBI or fraud action found. Promoter holding ~72.4% with no encumbrance. Board approved migration from NSE Emerge to the NSE Main Board.</w:t>
      </w:r>
    </w:p>
    <w:p>
      <w:pPr>
        <w:pStyle w:val="Heading1"/>
        <w:spacing w:after="120" w:before="280"/>
      </w:pPr>
      <w:r>
        <w:t xml:space="preserve">Bull Case</w:t>
      </w:r>
    </w:p>
    <w:p>
      <w:pPr>
        <w:pStyle w:val="ListParagraph"/>
        <w:numPr>
          <w:ilvl w:val="0"/>
          <w:numId w:val="1"/>
        </w:numPr>
        <w:spacing w:after="60"/>
      </w:pPr>
      <w:r>
        <w:t xml:space="preserve">FY26 revenue +~70%, PAT +~68%, EBITDA +50% on stronger appliance demand and wider distribution</w:t>
      </w:r>
    </w:p>
    <w:p>
      <w:pPr>
        <w:pStyle w:val="ListParagraph"/>
        <w:numPr>
          <w:ilvl w:val="0"/>
          <w:numId w:val="1"/>
        </w:numPr>
        <w:spacing w:after="60"/>
      </w:pPr>
      <w:r>
        <w:t xml:space="preserve">Clean promoter holding (~72.4%, no encumbrance); main-board migration improves liquidity</w:t>
      </w:r>
    </w:p>
    <w:p>
      <w:pPr>
        <w:pStyle w:val="ListParagraph"/>
        <w:numPr>
          <w:ilvl w:val="0"/>
          <w:numId w:val="1"/>
        </w:numPr>
        <w:spacing w:after="60"/>
      </w:pPr>
      <w:r>
        <w:t xml:space="preserve">Own brands (STARSHINE / ARATTON) alongside OEM work - some scope to move up the value chain</w:t>
      </w:r>
    </w:p>
    <w:p>
      <w:pPr>
        <w:pStyle w:val="ListParagraph"/>
        <w:numPr>
          <w:ilvl w:val="0"/>
          <w:numId w:val="1"/>
        </w:numPr>
        <w:spacing w:after="60"/>
      </w:pPr>
      <w:r>
        <w:t xml:space="preserve">Appliance-manufacturing localisation / import-substitution is a multi-year demand backdrop</w:t>
      </w:r>
    </w:p>
    <w:p>
      <w:pPr>
        <w:pStyle w:val="Heading1"/>
        <w:spacing w:after="120" w:before="280"/>
      </w:pPr>
      <w:r>
        <w:t xml:space="preserve">Bear Case / Key Risks</w:t>
      </w:r>
    </w:p>
    <w:p>
      <w:pPr>
        <w:pStyle w:val="ListParagraph"/>
        <w:numPr>
          <w:ilvl w:val="0"/>
          <w:numId w:val="1"/>
        </w:numPr>
        <w:spacing w:after="60"/>
      </w:pPr>
      <w:r>
        <w:t xml:space="preserve">Low-value-add appliance assembly / OEM - fierce competition, thin and volatile margins, no moat</w:t>
      </w:r>
    </w:p>
    <w:p>
      <w:pPr>
        <w:pStyle w:val="ListParagraph"/>
        <w:numPr>
          <w:ilvl w:val="0"/>
          <w:numId w:val="1"/>
        </w:numPr>
        <w:spacing w:after="60"/>
      </w:pPr>
      <w:r>
        <w:t xml:space="preserve">~33x earnings after a ~103% one-year run - the growth is already priced</w:t>
      </w:r>
    </w:p>
    <w:p>
      <w:pPr>
        <w:pStyle w:val="ListParagraph"/>
        <w:numPr>
          <w:ilvl w:val="0"/>
          <w:numId w:val="1"/>
        </w:numPr>
        <w:spacing w:after="60"/>
      </w:pPr>
      <w:r>
        <w:t xml:space="preserve">Debtor days ~177 - working-capital-heavy, with channel-stuffing / collection risk</w:t>
      </w:r>
    </w:p>
    <w:p>
      <w:pPr>
        <w:pStyle w:val="ListParagraph"/>
        <w:numPr>
          <w:ilvl w:val="0"/>
          <w:numId w:val="1"/>
        </w:numPr>
        <w:spacing w:after="60"/>
      </w:pPr>
      <w:r>
        <w:t xml:space="preserve">Component-import exposure to China; own brands not established outside the home region</w:t>
      </w:r>
    </w:p>
    <w:p>
      <w:pPr>
        <w:pStyle w:val="ListParagraph"/>
        <w:numPr>
          <w:ilvl w:val="0"/>
          <w:numId w:val="1"/>
        </w:numPr>
        <w:spacing w:after="60"/>
      </w:pPr>
      <w:r>
        <w:t xml:space="preserve">Sovrenn trigger is only a listing migration, not a fundamental catalyst; no forum scrutiny</w:t>
      </w:r>
    </w:p>
    <w:p>
      <w:pPr>
        <w:pStyle w:val="Heading1"/>
        <w:spacing w:after="120" w:before="280"/>
      </w:pPr>
      <w:r>
        <w:t xml:space="preserve">Market-Cap Tier (informational — not a gate in this project)</w:t>
      </w:r>
    </w:p>
    <w:p>
      <w:pPr>
        <w:spacing w:after="120"/>
      </w:pPr>
      <w:r>
        <w:rPr>
          <w:b/>
          <w:bCs/>
        </w:rPr>
        <w:t xml:space="preserve">Micro-cap (~Rs 445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The Sovrenn trigger is just an NSE Emerge -&gt; Main Board migration; underneath is a low-value-add appliance OEM at ~33x earnings after a 103% run, with 177 debtor days. thesis_fit neither, conviction Low.</w:t>
      </w:r>
    </w:p>
    <w:p>
      <w:pPr>
        <w:pStyle w:val="ListParagraph"/>
        <w:numPr>
          <w:ilvl w:val="0"/>
          <w:numId w:val="1"/>
        </w:numPr>
        <w:spacing w:after="60"/>
      </w:pPr>
      <w:r>
        <w:t xml:space="preserve">Sovrenn Daily News seed; the trigger is a listing migration (a liquidity / re-rating event), not an earnings catalyst - and there is no VP thread, so the read is web/filings-only</w:t>
      </w:r>
    </w:p>
    <w:p>
      <w:pPr>
        <w:pStyle w:val="ListParagraph"/>
        <w:numPr>
          <w:ilvl w:val="0"/>
          <w:numId w:val="1"/>
        </w:numPr>
        <w:spacing w:after="60"/>
      </w:pPr>
      <w:r>
        <w:t xml:space="preserve">FY26 growth is real (revenue +70%, PAT +68%), but the business is low-value-add appliance assembly / OEM with unproven own brands in a fiercely competitive, thin-margin, China-component-exposed segment - the quality gate is not cleared</w:t>
      </w:r>
    </w:p>
    <w:p>
      <w:pPr>
        <w:pStyle w:val="ListParagraph"/>
        <w:numPr>
          <w:ilvl w:val="0"/>
          <w:numId w:val="1"/>
        </w:numPr>
        <w:spacing w:after="60"/>
      </w:pPr>
      <w:r>
        <w:t xml:space="preserve">Working capital is a concern (177 debtor days), and at ~33x earnings after a ~103% one-year run there is no valuation margin of safety -&gt; thesis_fit neither, conviction Low</w:t>
      </w:r>
    </w:p>
    <w:p>
      <w:pPr>
        <w:pStyle w:val="ListParagraph"/>
        <w:numPr>
          <w:ilvl w:val="0"/>
          <w:numId w:val="1"/>
        </w:numPr>
        <w:spacing w:after="60"/>
      </w:pPr>
      <w:r>
        <w:t xml:space="preserve">No live-theme match (consumer-appliance OEM is not on the active list); value_chain block added</w:t>
      </w:r>
    </w:p>
    <w:p>
      <w:pPr>
        <w:pStyle w:val="ListParagraph"/>
        <w:numPr>
          <w:ilvl w:val="0"/>
          <w:numId w:val="1"/>
        </w:numPr>
        <w:spacing w:after="60"/>
      </w:pPr>
      <w:r>
        <w:t xml:space="preserve">revisit_after_30d false. A first-time fundamental re-read would be warranted only if post-migration disclosures show margin expansion and a working-capital improvement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2026-09-02T18:02:09.346Z</dcterms:created>
  <dcterms:modified xsi:type="dcterms:W3CDTF">2026-09-02T18:02:09.347Z</dcterms:modified>
</cp:coreProperties>
</file>

<file path=docProps/custom.xml><?xml version="1.0" encoding="utf-8"?>
<Properties xmlns="http://schemas.openxmlformats.org/officeDocument/2006/custom-properties" xmlns:vt="http://schemas.openxmlformats.org/officeDocument/2006/docPropsVTypes"/>
</file>