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Arvind SmartSpaces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Lalbhai-group real-estate developer with a real, growing project pipeline and promoter buying, backed by a large unrecognized-revenue backlog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Arvind SmartSpaces is the real-estate development arm of the Lalbhai Group ($2B conglomerate), developing residential/plotted/township projects primarily in Ahmedabad, Pune and Bengaluru, and recently expanding into the Mumbai Metropolitan Region (MMR).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2,985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12.9% / 15.5%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(TTM)</w:t>
            </w:r>
          </w:p>
        </w:tc>
        <w:tc>
          <w:tcPr>
            <w:tcW w:type="dxa" w:w="5800"/>
          </w:tcPr>
          <w:p>
            <w:r>
              <w:t xml:space="preserve">Rs 711.3 Cr / Rs 110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Bookings</w:t>
            </w:r>
          </w:p>
        </w:tc>
        <w:tc>
          <w:tcPr>
            <w:tcW w:type="dxa" w:w="5800"/>
          </w:tcPr>
          <w:p>
            <w:r>
              <w:t xml:space="preserve">Rs 1,550 Cr annual bookings, up 22%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487 - 694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Reasonable ROE (15.5%) for a real-estate developer, with a real project-pipeline growth story: entry into the Mumbai Metropolitan Region with a ~Rs 1,500 Cr horizontal township project (Jan 2025), a new Rs 600 Cr plotted-development project in Sanand (Feb 2025), and continued promoter buying through 2024-2025 corrections. A community member's math (2023) estimated the company's then-~Rs 1,900 Cr unrecognized revenue backlog would convert to roughly Rs 400 Cr of EBITDA over the following 3 years against a market cap far smaller than today's.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65 posts (2015-2025, heavily weighted toward 2023-2025 given large historical gaps). The thread has gone quiet since Apr 2025 (~16 months, consistent with state.json's stale last_forum_activity), but the last active period (2024-2025) was consistently positive: new project launches (4 in FY25, guidance of 6-8 more in FY26), continued promoter buying during corrections, and broker coverage initiation (Axis Securities).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(trusted, elevated) was the most active tracker through 2024-2025, consistently reporting positive project-addition and promoter-buying news without over-claiming. No explicit high-conviction 'primary holding' statement, but sustained, consistent positive engagement.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Promoter holding has been rising via warrant conversions/open-market buying historically (a consistently positive signal across cycles per the thread's history).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quantified project-pipeline growth: MMR entry (~Rs 1,500 Cr project), Sanand plotted development (~Rs 600 Cr), annual bookings up 22% YoY to Rs 1,550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buying during corrections is a recurring, credible signal across multiple cycles going back to 2016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Lalbhai Group backing provides balance-sheet and execution credibility uncommon among small real-estate developers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ROE (15.5%) for the sector, with a large unrecognized-revenue backlog still to convert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bookings-to-revenue-recognition lag (RERA-driven) means near-term financials can lag the actual growth story by 36-48 months, creating valuation-timing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has gone quiet for ~16 months -- no fresh independent community validation of whether the FY25-26 project pipeline is converting to bookings as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is inherently cyclical and regulation-sensitive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2,985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credible, promoter-backed real-estate growth pipeline with a large revenue-recognition backlog still to convert, at a small-cap size that leaves room to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project pipeline (MMR, Sanand) and 22% YoY bookings growth are real and quantified, not speculative, and promoter buying has been a consistent, credible signal across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Lalbhai Group backing is a real quality signal for a small-cap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Low-Medium given the 16-month stale thread means there is no fresh community read on FY26 execution -- worth a fresher check next cycle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2026-08-23T16:11:22.506Z</dcterms:created>
  <dcterms:modified xsi:type="dcterms:W3CDTF">2026-08-23T16:11:22.506Z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