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Ather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Fast-narrowing losses and rising EV market share, backed by marquee institutional buying, but already a genuinely large-cap that has re-rated hard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Ather Energy is a premium electric two-wheeler (scooter) manufacturer, backed by Hero MotoCorp (~40% stake), competing against TVS, Bajaj, Ola Electric and Hero's own Vida brand in India's rapidly growing EV-2W market.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57,152-60,219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-19.8% (still 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-33.4%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129.65% (vs. 0% industry median — small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position (D/E 0.26)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413 - 1,589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Still loss-making at both ROCE (-19.8%) and ROE (-33.4%) levels, but the trend is genuinely and consistently improving: Q2FY26 net loss narrowed 22% YoY to Rs 154 Cr on revenue +54% YoY, then narrowed further to Rs 85 Cr in Q3FY26. Stock is already up ~248% over the past year, reflecting that much of this improvement is priced 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95 fetched posts (2025-09 to 2026-08), single batch. Sentiment is broadly and consistently bullish across the period, centered on a specific, well-documented market-share gain (12.1% to 18.8% of pure-EV 2W sales in ~4 quarters, moving from 4th/5th to a clear No. 3 as Ola Electric stumbled on service/quality issues), rapid store-network expansion (524 to 600+ centers, targeting 1,100+ by Mar 2027), and a path to EBITDA-neutral that multiple posters have pulled forward from FY29 to roughly FY28. A recurring debate concerns whether Hero MotoCorp's ~40% ownership plus its own competing Vida brand is a strategic asset or a conflict; the community leans toward viewing it as complementary optionality rather than a real conflict. The company is capacity-constrained (management confirmed missing 10-15k sales/month due to production limits) pending a new Maharashtra plant.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meekinvestor was the most consistently engaged, invested poster, tracking marquee institutional buying directly from BSE/NSE block-deal disclosures — ADIA, ICICI Prudential MF, Morgan Stanley, Aditya Birla Sun Life MF, and Societe Generale all picked up stakes via block deals in Feb 2026 (from NIIF's exit). Trusted user Pujan_Shah raised the Hero-dual-brand strategic question directly; the thread's other engaged (non-trusted but substantive) posters, hardik_shah1 and Amit_Dubey, provided the most granular market-share and capacity-constraint tracking.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2025-09-06 — Pujan_Shah</w:t>
      </w:r>
      <w:r>
        <w:rPr>
          <w:i/>
          <w:iCs/>
          <w:color w:val="666666"/>
          <w:sz w:val="18"/>
          <w:szCs w:val="18"/>
        </w:rPr>
        <w:t xml:space="preserve"> (Ather Energy)</w:t>
      </w:r>
      <w:r>
        <w:rPr>
          <w:sz w:val="20"/>
          <w:szCs w:val="20"/>
        </w:rPr>
        <w:br/>
        <w:t xml:space="preserve">: Raised whether Hero MotoCorp's ~40% Ather stake alongside its own competing Vida EV brand implies an eventual strategic choice (reduce Ather stake to fund Vida, or consolidate) rather than indefinite dual-brand coexistence — an open question the thread did not fully resolve.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2026-02-12 — meekinvestor</w:t>
      </w:r>
      <w:r>
        <w:rPr>
          <w:i/>
          <w:iCs/>
          <w:color w:val="666666"/>
          <w:sz w:val="18"/>
          <w:szCs w:val="18"/>
        </w:rPr>
        <w:t xml:space="preserve"> (Ather Energy)</w:t>
      </w:r>
      <w:r>
        <w:rPr>
          <w:sz w:val="20"/>
          <w:szCs w:val="20"/>
        </w:rPr>
        <w:br/>
        <w:t xml:space="preserve">: Flagged marquee institutional block-deal buying (ADIA, ICICI Prudential MF, Morgan Stanley, Aditya Birla Sun Life MF, Societe Generale) picking up NIIF's exiting stake, disclosed as invested in Ather.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Feb 2026: NIIF exited its ~1.92% stake via block deals picked up by 11 marquee institutional investors (ADIA, Morgan Stanley, ICICI Pru MF, WhiteOak, Tata MF, Aditya Birla SL MF, and others) — a broad-based institutional-confidence signal,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well-documented market-share gains (12.1% to 18.8% of pure-EV 2W sales in ~4 quarters), now a clear No. 3 nationally and dominant in the South (~35% share)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Losses are narrowing consistently and materially quarter over quarter (Rs 197 Cr to Rs 154 Cr to Rs 85 Cr net loss across recent quarters) with a path to EBITDA-neutral pulled forward to roughly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Broad-based marquee institutional buying (ADIA, Morgan Stanley, ICICI Pru MF, Aditya Birla SL MF) picked up a large NIIF block in Feb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demand-constrained rather than demand-challenged — management confirms missing 10-15k sales/month purely on production capacity, with a new Maharashtra plant as the next capacity unlock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57,000-60,000 Cr company that has re-rated ~248% over the past year — a 10x/100x thesis from here would require reaching an essentially unprecedented scale for an Indian 2W maker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meaningfully loss-making at both ROCE (-19.8%) and ROE (-33.4%) levels; profitability, while improving, is not yet achieved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lithium/nickel input costs (flagged Jan 2026 amid geopolitical tension) are a real near-term margin headwind on top of already-thin unit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Founders hold a modest ~10-12% stake, and Hero MotoCorp's ~40% ownership alongside its own competing Vida brand creates an unresolved strategic-alignment question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57,152-60,219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strong operating turnaround (share gains, narrowing losses, capacity-constrained demand) already reflected in a large market cap that has re-rated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trend is specific and real — market share, loss-narrowing, and institutional buying are not vague community optimism — but per the project's thesis, a genuinely large-cap company (already ~Rs 57-60k Cr, up 248% in a year) needs an unusually sharp catalyst to still be in 10x/100x scope, and the current story is a continuation of an already-well-recognized trend rather than a fresh, underpriced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'neither' on scale/thesis-fit grounds rather than a business-quality knock — the operating momentum here is among the strongest of any stock reviewed this run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2026-08-26T17:12:19.135Z</dcterms:created>
  <dcterms:modified xsi:type="dcterms:W3CDTF">2026-08-26T17:12:19.135Z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