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Avalon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Dual-shore (US + India) high-mix EMS company with eight straight quarters of sequential growth, a box-build mix now at 60% and a raised FY27 guide - genuine execution, but a ~Rs 15,000 Cr market cap and premium multiple leave little room for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Avalon Technologies is a fully-integrated Electronic Manufacturing Services (EMS) company specialising in high-mix, flexible-volume manufacturing for Aerospace, Defence, Railways, Clean Energy and Industrials. Its 'dual-shore' model pairs US facilities (Atlanta) for prototyping and complex integration with cost-efficient volume plants in India (Chennai, Bengaluru). Capabilities include up to 32-layer PCBs, advanced packaging (POP, BGA, QFN, 01005), and rigid-flex assembly; it recently secured EN 15085-2 railway-welding certification (Kavach hardware eligibility).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14,900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~19.5-23.4% / ~16.9%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revenue ~Rs 484 Cr, +50% YoY; FY27 guidance raised to 26-30% (from 24-27%)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Box-build mix</w:t>
            </w:r>
          </w:p>
        </w:tc>
        <w:tc>
          <w:tcPr>
            <w:tcW w:type="dxa" w:w="5800"/>
          </w:tcPr>
          <w:p>
            <w:r>
              <w:t xml:space="preserve">60% of revenue for the first time (Q1 FY27), up from ~54%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Promoters ~44.4%, 0% pledged; leverage modest (not disclosed precisely in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Cadence</w:t>
            </w:r>
          </w:p>
        </w:tc>
        <w:tc>
          <w:tcPr>
            <w:tcW w:type="dxa" w:w="5800"/>
          </w:tcPr>
          <w:p>
            <w:r>
              <w:t xml:space="preserve">Eighth consecutive quarter of sequential operational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Execution is genuinely strong: eight straight sequential-growth quarters, Q1 FY27 revenue +50% YoY, FY27 guidance raised to 26-30%, and a shift to higher-value box-build (system integration) now at 60% of revenue, which should lift margins toward the 11.5%+ seen in Q4 FY26. The Chennai brownfield expansion is fully operational and new certifications (EN 15085-2) open rail/Kavach tenders. The caveats forum members raise: this is a growth-at-a-premium name, not a cheap compounder; free cash flow, inventory days and tariff recovery are the watch items; and the current multiple could compress if new programs don't ramp before valuation catches up.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has been trading near a fresh 52-week high through Aug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6-post thread but high quality - kdjolly (elevated) compiled detailed, well-received notes (12 loves) on the dual-shore model, PCB fabrication-vs-assembly economics and the 'tribal knowledge' barrier, plus a Q1 FY27 appendix flagging the eighth straight growth quarter, the 60% box-build milestone and the EN 15085-2 certification. siddybee framed the India-EMS structural tailwind (PLI, ECMS, ISM 2.0) as a positive-sum share-gain story. Mohammad_Sami's balanced take: the stock works only if the order book converts to sustained revenue, operating leverage expands margins and working capital normalises - 'growth-at-a-premium', with a possible re-rate toward Rs 1,500 if 11.5%+ margins hold.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kdjolly (elevated) contributed the thread's core research and a positive Q1 FY27 update, but did not state a sized position or an explicit high-conviction call; treat as a well-informed positive framing rather than a conviction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Promoters ~44.4% with 0% pledge. EN 15085-2 railway-welding certification secured (Q1 FY27).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Eight consecutive quarters of sequential growth; Q1 FY27 revenue +50% YoY and FY27 guidance raised to 26-30%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 shift to box-build (60% of revenue) should structurally lift margins toward 11.5%+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Dual-shore US+India model is genuinely differentiated for aerospace/defence/rail customers wanting China-plus-one with US-side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India-EMS structural tailwind (PLI, ECMS, ISM 2.0) in a positive-sum market where multiple players can win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return ratios (ROCE ~20-23%, ROE ~17%), no promoter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15,000 Cr market cap and a premium multiple - a 10x needs ~Rs 1.5 lakh crore, which is a very high bar for an EMS box-builder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Growth-at-a-premium: multiple compression risk if new programs don't ramp on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flow, inventory days and working-capital normalisation are unresolved watch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 exposure and tariff-recovery timing add earnings volatility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EMS is inherently thin-margin and capital-absorbing at scale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strong execution and a real EMS tailwind, but at a ~Rs 15,000 Cr market cap, ~17% ROE and a premium multiple there is no credible path to a 10x in 2-3 years or a 100x in 10 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well-run dual-shore EMS compounder - but already mid-cap and richly priced, so it fails the 10x/100x screen on size, not quality;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excellent (eight sequential growth quarters, +50% YoY, guidance raised, box-build at 60%) and return ratios are healthy (ROCE ~20-23%).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classification turns on size: at ~Rs 14,900 Cr and ~17% ROE with EMS-level margins, neither a 2-3-year 10x nor a 10-year 100x is realistic without a step-change no one is underwriting.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kdjolly (elevated) supplied strong research and a positive update but no sized/high-conviction call; no conviction floor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 on size; conviction Medium reflecting genuine quality. Not flagged for 30-day revisit (thesis_fit neither).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2026-08-30T12:51:17.696Z</dcterms:created>
  <dcterms:modified xsi:type="dcterms:W3CDTF">2026-08-30T12:51:17.696Z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