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Axiscades Engineering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Years of weak, choppy execution now pivoting hard into a pure-play defense/missile-components story via two large business sales — a real Q1 FY27 growth surge, but a governance/political-conflict concern hangs over the promoter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Axiscades (formerly AXISCADES Technologies) provides engineering services across aerospace, defence, and semiconductor (ESAI) verticals. In 2026 it executed a major strategic pivot: selling its Heavy Engineering/Automotive/Energy business to Akkodis for $30.63M and, separately, its Aerospace Engineering Services business to Akkodis for $206M (combined ~Rs 2,250 Cr), repositioning as a product-driven, high-margin defense/missile-components player targeting $1 billion revenue by FY30 (from Rs 1,156 Cr in FY26) backed by a ~Rs 14,000 Cr order pipeline. Majority owner is Jupiter Capital, controlled by BJP MP Rajeev Chandrasekhar.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6,767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~7.86-12.7% (sources conflict; recent years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~13.8%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0.37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0.27%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+12.4% to Rs 1,159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+42.2% YoY to Rs 346.7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283 (high)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quality is genuinely weak — essentially flat 5-year sales growth (0.27%), moderate-to-low return ratios, and high debtor days (283). However, Q1 FY27 shows a real, specific inflection: revenue +42.2% YoY, arriving right after the company completed two large divestitures ($236.6M combined) to reposition around its highest-margin defense/missile-component business. Q4 FY26 results just before this were 'pretty bad' per the thread (revenue +2% only, profit hit by deferred revenue recognition), so this is genuinely the first quarter reflecting the new, leaner, defense-focused entity rather than the legacy mixed-business model.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(#8-63, spanning a very long-running thread back to 2016) with fetched posts covering roughly 2023-2026. The thread shows a long history of management turnover, litigation (Mistral acquisition arbitration), and skepticism, but a marked shift in tone from mid-2025 onward once the defense pivot and $1B FY30 target were disclosed, including a detailed initiating-coverage report (jaichauhann, love=24) and multiple trusted-elevated users engaging substantively (kartik_bhat, Aloysius_De_Sa, shyamutty, BuyRightSitTight, vikas_sinha, james_kerala).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vikas_sinha (trusted, elevated-tier) shared a detailed AI-summarized article (29-Mar-2026) framing the $1B FY30 target, missile-component expansion, and Rs 14,000 Cr order pipeline. Separately, shyamutty (trusted, elevated-tier) raised a genuine governance/political-conflict concern (Feb 2026): majority owner Rajeev Chandrasekhar has been publicly criticised for sitting on the parliamentary standing committee on defence while owning a defense-sector company, and for entities under his control selling equity stakes to global defense firms.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2026-02-02 — shyamutty (trusted, elevated-tier)</w:t>
      </w:r>
      <w:r>
        <w:rPr>
          <w:i/>
          <w:iCs/>
          <w:color w:val="666666"/>
          <w:sz w:val="18"/>
          <w:szCs w:val="18"/>
        </w:rPr>
        <w:t xml:space="preserve"> (Axiscades Engineering company thread)</w:t>
      </w:r>
      <w:r>
        <w:rPr>
          <w:sz w:val="20"/>
          <w:szCs w:val="20"/>
        </w:rPr>
        <w:br/>
        <w:t xml:space="preserve">: Flagged a genuine governance/political-conflict-of-interest concern regarding majority owner Rajeev Chandrasekhar (BJP MP, standing committee on defence, entities under his control selling stakes to global defense firms) — a caution, not a bullish signal.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2026-03-29 — vikas_sinha (trusted, elevated-tier)</w:t>
      </w:r>
      <w:r>
        <w:rPr>
          <w:i/>
          <w:iCs/>
          <w:color w:val="666666"/>
          <w:sz w:val="18"/>
          <w:szCs w:val="18"/>
        </w:rPr>
        <w:t xml:space="preserve"> (Axiscades Engineering company thread)</w:t>
      </w:r>
      <w:r>
        <w:rPr>
          <w:sz w:val="20"/>
          <w:szCs w:val="20"/>
        </w:rPr>
        <w:br/>
        <w:t xml:space="preserve">: Shared detailed coverage of the FY30 $1B revenue target, missile-component pivot, and Rs 14,000 Cr order pipeline as the defense-focused thesis took shape.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found, though a governance/political-conflict-of-interest concern around the controlling shareholder is a real, forum-flagged risk factor (not a formal enforcement matter).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credible strategic pivot: two large divestitures (combined ~Rs 2,250 Cr) fund a shift to a pure-play, higher-margin defense/missile-components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a genuine post-pivot inflection (+42.2% YoY revenue), the first quarter to reflect the leaner, defense-focused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specific order pipeline (Rs 14,000 Cr) and an ambitious but management-reiterated FY30 target ($1B revenue, ~8x from FY26's residual-business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recent trusted-user engagement as the story has developed, including detailed coverage of the FY30 targets and pipeline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Years of genuinely weak trailing execution (flat 5-year sales growth, high debtor days, a management history marked by CEO/Chairman churn and prior litigation) — this is a real track record, not just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directly flagged a governance/political-conflict-of-interest concern around the controlling shareholder — a real risk factor, independent of the operating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Funding the Rs 2,000 Cr, 3-year capex plan without meaningful equity dilution or a significant debt raise remains an open question the thread itself couldn't resolve (one poster speculated a QIP, possibly with a global defense partner like Embraer)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project's older, separate 108-stock research flagged Axiscades (as 'excluded_large') for 'self-acknowledged weak recent results' — informational context consistent with the choppy trailing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strategic pivot with a real first inflection quarter, but years of weak execution and a governance concern mean this needs more confirmation before real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fundamentals are weak (near-flat 5-yr growth, moderate return ratios, high debtor days) — but Q1 FY27's +42.2% YoY growth is a real, specific, and credible inflection tied directly to a genuine strategic pivot (two large divestitures funding a defense-focused repositioning), not vague optimism.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methodology, a weak trailing average combined with a strong, specific recent-quarter improvement at a mid-cap fits the '10x-in-2-3-years, low/medium conviction, unconfirmed caveat' pattern rather than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this is one quarter of data set against a genuinely long history of weak execution and management churn, plus a real, trusted-flagged governance/political-conflict concern around the controlling shareholder that is independent of the operating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set to Low given the combination of a real but single-quarter inflection, an ambitious (8x by FY30) target with unresolved capex-funding questions, and an unresolved governance concern. Revisit after 2-3 more quarters of the post-divestiture entity's results before raising conviction.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2026-08-29T10:16:43.977Z</dcterms:created>
  <dcterms:modified xsi:type="dcterms:W3CDTF">2026-08-29T10:16:43.978Z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