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Azad Engineering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Azad Engineering Ltd -- screened at preliminary (web/news) stage; filtered out without a deep ValuePickr thread read.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See fundamentals and verdict below. No deep ValuePickr thread read performed this pass -- this stock was filtered at the Step 3 preliminary (web/news) stage.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18,409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Adj ROCE ~15.3% / ROE ~8.9% -- ROE well below peers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results</w:t>
            </w:r>
          </w:p>
        </w:tc>
        <w:tc>
          <w:tcPr>
            <w:tcW w:type="dxa" w:w="5800"/>
          </w:tcPr>
          <w:p>
            <w:r>
              <w:t xml:space="preserve">Revenue ~Rs 590 Cr (+30% YoY); EBITDA margin ~36.9%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Long-term agreements incl. GE Vernova (USD 112M + USD 53.5M), Siemens Energy (USD 90M), Mitsubishi Heavy Industries (USD 83M)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rising (~Rs 452 Cr from ~Rs 238 Cr) for capacity expansion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1,359 - Rs 2,530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Precision-engineered components for energy (turbine blades/3D-machined parts), aerospace and defence, with marquee multi-year OEM contracts. Strong margins and a real export order book, but ROE is single-digit, debt is rising for capex, and the valuation is very rich. The legacy 108-stock project had this in 'excluded_large'.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deep thread read this pass -- filtered at the Step 3 preliminary stage on fundamentals / size / red-flag grounds.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in depth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18,409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Filtered out at preliminary stage -- does not fit the 10x/100x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neither: at ~Rs 18,000 Cr with single-digit ROE, rising leverage and a premium multiple, a 10x-in-2-3-years or 100x-in-10-years outcome is not supportable despite ~30%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project (2026-08-15) put this in excluded_large ('too large'); under the no-ceiling open-screen thesis it is still neither, now on return-slope/valuation grounds rather than a hard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deep thread read; no red-flag tier; conviction Low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2026-08-29T14:32:58.226Z</dcterms:created>
  <dcterms:modified xsi:type="dcterms:W3CDTF">2026-08-29T14:32:58.226Z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