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Capacit'e Infraprojects Ltd</w:t>
      </w:r>
    </w:p>
    <w:p>
      <w:pPr>
        <w:pBdr>
          <w:bottom w:val="single" w:color="CCCCCC" w:sz="6" w:space="8"/>
        </w:pBdr>
        <w:spacing w:after="200"/>
      </w:pPr>
      <w:r>
        <w:rPr>
          <w:i/>
          <w:iCs/>
          <w:color w:val="666666"/>
          <w:sz w:val="22"/>
          <w:szCs w:val="22"/>
        </w:rPr>
        <w:t xml:space="preserve">Cheap-vs-peers EPC contractor with a 5x-revenue order book, hit by a temporary commodity-cost squeeze on margins</w:t>
      </w:r>
    </w:p>
    <w:p>
      <w:pPr>
        <w:pStyle w:val="Heading1"/>
        <w:spacing w:after="120" w:before="280"/>
      </w:pPr>
      <w:r>
        <w:t xml:space="preserve">Business Overview</w:t>
      </w:r>
    </w:p>
    <w:p>
      <w:pPr>
        <w:spacing w:after="120"/>
      </w:pPr>
      <w:r>
        <w:t xml:space="preserve">Capacit'e Infraprojects is an EPC (engineering, procurement, construction) contractor specializing in turnkey solutions for housing, high-rises, super high-rises, specialty buildings, and urban infrastructure.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1,742 Cr</w:t>
            </w:r>
          </w:p>
        </w:tc>
      </w:tr>
      <w:tr>
        <w:tc>
          <w:tcPr>
            <w:tcW w:type="dxa" w:w="3200"/>
            <w:shd w:fill="F2F2F2" w:val="clear"/>
          </w:tcPr>
          <w:p>
            <w:r>
              <w:rPr>
                <w:b/>
                <w:bCs/>
              </w:rPr>
              <w:t xml:space="preserve">Trailing P/E</w:t>
            </w:r>
          </w:p>
        </w:tc>
        <w:tc>
          <w:tcPr>
            <w:tcW w:type="dxa" w:w="5800"/>
          </w:tcPr>
          <w:p>
            <w:r>
              <w:t xml:space="preserve">~9.4x (vs. mid-cap civil construction peers at 15-22x)</w:t>
            </w:r>
          </w:p>
        </w:tc>
      </w:tr>
      <w:tr>
        <w:tc>
          <w:tcPr>
            <w:tcW w:type="dxa" w:w="3200"/>
            <w:shd w:fill="F2F2F2" w:val="clear"/>
          </w:tcPr>
          <w:p>
            <w:r>
              <w:rPr>
                <w:b/>
                <w:bCs/>
              </w:rPr>
              <w:t xml:space="preserve">P/B</w:t>
            </w:r>
          </w:p>
        </w:tc>
        <w:tc>
          <w:tcPr>
            <w:tcW w:type="dxa" w:w="5800"/>
          </w:tcPr>
          <w:p>
            <w:r>
              <w:t xml:space="preserve">0.91x (Book Value Rs 226/share)</w:t>
            </w:r>
          </w:p>
        </w:tc>
      </w:tr>
      <w:tr>
        <w:tc>
          <w:tcPr>
            <w:tcW w:type="dxa" w:w="3200"/>
            <w:shd w:fill="F2F2F2" w:val="clear"/>
          </w:tcPr>
          <w:p>
            <w:r>
              <w:rPr>
                <w:b/>
                <w:bCs/>
              </w:rPr>
              <w:t xml:space="preserve">FY26 Revenue/PAT</w:t>
            </w:r>
          </w:p>
        </w:tc>
        <w:tc>
          <w:tcPr>
            <w:tcW w:type="dxa" w:w="5800"/>
          </w:tcPr>
          <w:p>
            <w:r>
              <w:t xml:space="preserve">Rs 2,623 Cr (+12% YoY) / Rs 193 Cr</w:t>
            </w:r>
          </w:p>
        </w:tc>
      </w:tr>
      <w:tr>
        <w:tc>
          <w:tcPr>
            <w:tcW w:type="dxa" w:w="3200"/>
            <w:shd w:fill="F2F2F2" w:val="clear"/>
          </w:tcPr>
          <w:p>
            <w:r>
              <w:rPr>
                <w:b/>
                <w:bCs/>
              </w:rPr>
              <w:t xml:space="preserve">Order book</w:t>
            </w:r>
          </w:p>
        </w:tc>
        <w:tc>
          <w:tcPr>
            <w:tcW w:type="dxa" w:w="5800"/>
          </w:tcPr>
          <w:p>
            <w:r>
              <w:t xml:space="preserve">Rs 13,535 Cr as of Jun 30, 2026 (~5.1x TTM revenue)</w:t>
            </w:r>
          </w:p>
        </w:tc>
      </w:tr>
      <w:tr>
        <w:tc>
          <w:tcPr>
            <w:tcW w:type="dxa" w:w="3200"/>
            <w:shd w:fill="F2F2F2" w:val="clear"/>
          </w:tcPr>
          <w:p>
            <w:r>
              <w:rPr>
                <w:b/>
                <w:bCs/>
              </w:rPr>
              <w:t xml:space="preserve">Q1 FY27</w:t>
            </w:r>
          </w:p>
        </w:tc>
        <w:tc>
          <w:tcPr>
            <w:tcW w:type="dxa" w:w="5800"/>
          </w:tcPr>
          <w:p>
            <w:r>
              <w:t xml:space="preserve">Revenue Rs 629 Cr (+7% YoY), PAT Rs 40 Cr (down from Rs 47 Cr in Q1 FY26)</w:t>
            </w:r>
          </w:p>
        </w:tc>
      </w:tr>
    </w:tbl>
    <w:p>
      <w:pPr>
        <w:spacing w:after="100"/>
      </w:pPr>
    </w:p>
    <w:p>
      <w:pPr>
        <w:spacing w:after="120"/>
      </w:pPr>
      <w:r>
        <w:t xml:space="preserve">Trades meaningfully cheaper than mid-cap civil construction peers (9.4x P/E vs. 15-22x, and below book value at 0.91x P/B) despite consistent double-digit revenue growth and a very large order book relative to revenue (~5.1x TTM). Q1 FY27 PAT declined YoY, but this was traced to a specific, well-documented cause rather than a demand or execution problem.</w:t>
      </w:r>
    </w:p>
    <w:p>
      <w:pPr>
        <w:pStyle w:val="Heading1"/>
        <w:spacing w:after="120" w:before="280"/>
      </w:pPr>
      <w:r>
        <w:t xml:space="preserve">Technical Read (Weekly / Monthly MACD + Bollinger Bands, or RSI/CCI/Williams %R proxy)</w:t>
      </w:r>
    </w:p>
    <w:p>
      <w:pPr>
        <w:spacing w:after="120"/>
      </w:pPr>
      <w:r>
        <w:t xml:space="preserve">Not checked this pass.</w:t>
      </w:r>
    </w:p>
    <w:p>
      <w:pPr>
        <w:pStyle w:val="Heading1"/>
        <w:spacing w:after="120" w:before="280"/>
      </w:pPr>
      <w:r>
        <w:t xml:space="preserve">ValuePickr Community Signal</w:t>
      </w:r>
    </w:p>
    <w:p>
      <w:pPr>
        <w:spacing w:after="120"/>
      </w:pPr>
      <w:r>
        <w:t xml:space="preserve">Read most recent 50 of 165 posts (single batch, no escalation). Two substantive recent posts (Jun and Aug 2026) both frame the story positively -- a value re-rating candidate with a temporary, explainable margin headwind.</w:t>
      </w:r>
    </w:p>
    <w:p>
      <w:pPr>
        <w:spacing w:after="120"/>
      </w:pPr>
      <w:r>
        <w:rPr>
          <w:b/>
          <w:bCs/>
          <w:sz w:val="20"/>
          <w:szCs w:val="20"/>
        </w:rPr>
        <w:t xml:space="preserve">High-conviction call from a top contributor: </w:t>
      </w:r>
      <w:r>
        <w:rPr>
          <w:sz w:val="20"/>
          <w:szCs w:val="20"/>
        </w:rPr>
        <w:t xml:space="preserve">No trusted-roster users posted in this thread. austin (Jun 2026) called Q4 numbers decent across line items with consistent growth guidance, noting the stock trades cheap vs. peers and inflationary cost increases are being passed through per contract terms, with margin impact not yet meaningfully visible. Aiyappaa (Aug 2026, 4 loves) posted a detailed Q4 FY26/Q1 FY27 concall summary: confirmed the valuation gap vs. peers, and explained the Q1 FY27 PAT dip as a Rs 20 Cr commodity provisioning charge (accounting prudence) driven by a sharp Feb-May spike in non-ferrous input costs (aluminum +35-40%, copper, electricals), where government WPI/CPWD escalation-index reimbursement lags spot prices by 1-2 quarters -- i.e., a timing mismatch expected to normalize, not a structural margin loss.</w:t>
      </w:r>
    </w:p>
    <w:p>
      <w:pPr>
        <w:pStyle w:val="Heading1"/>
        <w:spacing w:after="120" w:before="280"/>
      </w:pPr>
      <w:r>
        <w:t xml:space="preserve">BSE Corporate Actions / Other Red Flags</w:t>
      </w:r>
    </w:p>
    <w:p>
      <w:pPr>
        <w:spacing w:after="120"/>
      </w:pPr>
      <w:r>
        <w:t xml:space="preserve">Not checked.</w:t>
      </w:r>
    </w:p>
    <w:p>
      <w:pPr>
        <w:pStyle w:val="Heading1"/>
        <w:spacing w:after="120" w:before="280"/>
      </w:pPr>
      <w:r>
        <w:t xml:space="preserve">Bull Case</w:t>
      </w:r>
    </w:p>
    <w:p>
      <w:pPr>
        <w:pStyle w:val="ListParagraph"/>
        <w:numPr>
          <w:ilvl w:val="0"/>
          <w:numId w:val="1"/>
        </w:numPr>
        <w:spacing w:after="60"/>
      </w:pPr>
      <w:r>
        <w:t xml:space="preserve">Trades at a real, quantified discount to peers (9.4x P/E vs. 15-22x peer range, below book value) despite consistent growth</w:t>
      </w:r>
    </w:p>
    <w:p>
      <w:pPr>
        <w:pStyle w:val="ListParagraph"/>
        <w:numPr>
          <w:ilvl w:val="0"/>
          <w:numId w:val="1"/>
        </w:numPr>
        <w:spacing w:after="60"/>
      </w:pPr>
      <w:r>
        <w:t xml:space="preserve">Order book of Rs 13,535 Cr is ~5.1x TTM revenue -- strong multi-year revenue visibility if execution continues</w:t>
      </w:r>
    </w:p>
    <w:p>
      <w:pPr>
        <w:pStyle w:val="ListParagraph"/>
        <w:numPr>
          <w:ilvl w:val="0"/>
          <w:numId w:val="1"/>
        </w:numPr>
        <w:spacing w:after="60"/>
      </w:pPr>
      <w:r>
        <w:t xml:space="preserve">Q1 FY27 margin/PAT dip has a specific, well-documented, timing-based explanation (commodity cost spike vs. lagged government escalation-clause reimbursement) rather than a demand or competitive problem, per a detailed community concall summary</w:t>
      </w:r>
    </w:p>
    <w:p>
      <w:pPr>
        <w:pStyle w:val="Heading1"/>
        <w:spacing w:after="120" w:before="280"/>
      </w:pPr>
      <w:r>
        <w:t xml:space="preserve">Bear Case / Key Risks</w:t>
      </w:r>
    </w:p>
    <w:p>
      <w:pPr>
        <w:pStyle w:val="ListParagraph"/>
        <w:numPr>
          <w:ilvl w:val="0"/>
          <w:numId w:val="1"/>
        </w:numPr>
        <w:spacing w:after="60"/>
      </w:pPr>
      <w:r>
        <w:t xml:space="preserve">Revenue growth itself is modest (Q1 FY27 revenue +7% YoY, FY26 +12% YoY) -- this is more a re-rating/value case than a high-growth story</w:t>
      </w:r>
    </w:p>
    <w:p>
      <w:pPr>
        <w:pStyle w:val="ListParagraph"/>
        <w:numPr>
          <w:ilvl w:val="0"/>
          <w:numId w:val="1"/>
        </w:numPr>
        <w:spacing w:after="60"/>
      </w:pPr>
      <w:r>
        <w:t xml:space="preserve">EPC businesses carry structural working-capital and execution risk (the earlier fundamentals search flagged high debtor days), and margin timing mismatches versus input costs could recur in future volatile-commodity quarters</w:t>
      </w:r>
    </w:p>
    <w:p>
      <w:pPr>
        <w:pStyle w:val="ListParagraph"/>
        <w:numPr>
          <w:ilvl w:val="0"/>
          <w:numId w:val="1"/>
        </w:numPr>
        <w:spacing w:after="60"/>
      </w:pPr>
      <w:r>
        <w:t xml:space="preserve">The 'temporary, will normalize' framing for the commodity provisioning rests on government escalation-clause reimbursement catching up, which is outside the company's direct control</w:t>
      </w:r>
    </w:p>
    <w:p>
      <w:pPr>
        <w:pStyle w:val="Heading1"/>
        <w:spacing w:after="120" w:before="280"/>
      </w:pPr>
      <w:r>
        <w:t xml:space="preserve">Market-Cap Tier (informational — not a gate in this project)</w:t>
      </w:r>
    </w:p>
    <w:p>
      <w:pPr>
        <w:spacing w:after="120"/>
      </w:pPr>
      <w:r>
        <w:rPr>
          <w:b/>
          <w:bCs/>
        </w:rPr>
        <w:t xml:space="preserve">Small-cap (~Rs 1,742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Cheap value-plus-order-book story with a well-explained, likely temporary margin dip -- a re-rating candidate more than a growth story</w:t>
      </w:r>
    </w:p>
    <w:p>
      <w:pPr>
        <w:pStyle w:val="ListParagraph"/>
        <w:numPr>
          <w:ilvl w:val="0"/>
          <w:numId w:val="1"/>
        </w:numPr>
        <w:spacing w:after="60"/>
      </w:pPr>
      <w:r>
        <w:t xml:space="preserve">The combination of a large order book (5.1x revenue), a genuine valuation discount to peers, and a well-documented, timing-based (not structural) explanation for the recent margin dip supports the thesis, particularly if the peer-multiple gap closes</w:t>
      </w:r>
    </w:p>
    <w:p>
      <w:pPr>
        <w:pStyle w:val="ListParagraph"/>
        <w:numPr>
          <w:ilvl w:val="0"/>
          <w:numId w:val="1"/>
        </w:numPr>
        <w:spacing w:after="60"/>
      </w:pPr>
      <w:r>
        <w:t xml:space="preserve">But underlying revenue growth itself is modest, so the 10x case here depends more on multiple re-rating and order-book conversion than on outsized organic growth -- a real but different kind of catalyst than this screen typically favors</w:t>
      </w:r>
    </w:p>
    <w:p>
      <w:pPr>
        <w:pStyle w:val="ListParagraph"/>
        <w:numPr>
          <w:ilvl w:val="0"/>
          <w:numId w:val="1"/>
        </w:numPr>
        <w:spacing w:after="60"/>
      </w:pPr>
      <w:r>
        <w:t xml:space="preserve">Conviction held to low-medium given EPC's inherent working-capital/execution risk and the fact that even the bullish community read is contingent on the cost-escalation timing mismatch actually normalizing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2026-08-25T03:18:06.472Z</dcterms:created>
  <dcterms:modified xsi:type="dcterms:W3CDTF">2026-08-25T03:18:06.472Z</dcterms:modified>
</cp:coreProperties>
</file>

<file path=docProps/custom.xml><?xml version="1.0" encoding="utf-8"?>
<Properties xmlns="http://schemas.openxmlformats.org/officeDocument/2006/custom-properties" xmlns:vt="http://schemas.openxmlformats.org/officeDocument/2006/docPropsVTypes"/>
</file>