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CarTrade Tech Ltd</w:t>
      </w:r>
    </w:p>
    <w:p>
      <w:pPr>
        <w:pBdr>
          <w:bottom w:val="single" w:color="CCCCCC" w:sz="6" w:space="8"/>
        </w:pBdr>
        <w:spacing w:after="200"/>
      </w:pPr>
      <w:r>
        <w:rPr>
          <w:i/>
          <w:iCs/>
          <w:color w:val="666666"/>
          <w:sz w:val="22"/>
          <w:szCs w:val="22"/>
        </w:rPr>
        <w:t xml:space="preserve">Multi-channel auto digital platform with credible 4x-profit management guidance and margin expansion, but weak returns and a size that no longer fits an aggressive multibagger thesis</w:t>
      </w:r>
    </w:p>
    <w:p>
      <w:pPr>
        <w:pStyle w:val="Heading1"/>
        <w:spacing w:after="120" w:before="280"/>
      </w:pPr>
      <w:r>
        <w:t xml:space="preserve">Business Overview</w:t>
      </w:r>
    </w:p>
    <w:p>
      <w:pPr>
        <w:spacing w:after="120"/>
      </w:pPr>
      <w:r>
        <w:t xml:space="preserve">CarTrade Tech operates a multi-channel automotive digital platform (CarTrade, CarWale, Shriram Automall, and others), spanning new/used car classifieds, auctions, and related services, with OLX India as a further owned asset.</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14,907 Cr</w:t>
            </w:r>
          </w:p>
        </w:tc>
      </w:tr>
      <w:tr>
        <w:tc>
          <w:tcPr>
            <w:tcW w:type="dxa" w:w="3200"/>
            <w:shd w:fill="F2F2F2" w:val="clear"/>
          </w:tcPr>
          <w:p>
            <w:r>
              <w:rPr>
                <w:b/>
                <w:bCs/>
              </w:rPr>
              <w:t xml:space="preserve">ROCE</w:t>
            </w:r>
          </w:p>
        </w:tc>
        <w:tc>
          <w:tcPr>
            <w:tcW w:type="dxa" w:w="5800"/>
          </w:tcPr>
          <w:p>
            <w:r>
              <w:t xml:space="preserve">7.48% (weak)</w:t>
            </w:r>
          </w:p>
        </w:tc>
      </w:tr>
      <w:tr>
        <w:tc>
          <w:tcPr>
            <w:tcW w:type="dxa" w:w="3200"/>
            <w:shd w:fill="F2F2F2" w:val="clear"/>
          </w:tcPr>
          <w:p>
            <w:r>
              <w:rPr>
                <w:b/>
                <w:bCs/>
              </w:rPr>
              <w:t xml:space="preserve">ROE</w:t>
            </w:r>
          </w:p>
        </w:tc>
        <w:tc>
          <w:tcPr>
            <w:tcW w:type="dxa" w:w="5800"/>
          </w:tcPr>
          <w:p>
            <w:r>
              <w:t xml:space="preserve">5.65-6.06% (weak, 3yr avg)</w:t>
            </w:r>
          </w:p>
        </w:tc>
      </w:tr>
      <w:tr>
        <w:tc>
          <w:tcPr>
            <w:tcW w:type="dxa" w:w="3200"/>
            <w:shd w:fill="F2F2F2" w:val="clear"/>
          </w:tcPr>
          <w:p>
            <w:r>
              <w:rPr>
                <w:b/>
                <w:bCs/>
              </w:rPr>
              <w:t xml:space="preserve">Revenue growth</w:t>
            </w:r>
          </w:p>
        </w:tc>
        <w:tc>
          <w:tcPr>
            <w:tcW w:type="dxa" w:w="5800"/>
          </w:tcPr>
          <w:p>
            <w:r>
              <w:t xml:space="preserve">21% YoY to Rs 779 Cr FY26; revenue CAGR 14.57% vs industry median 11.1%</w:t>
            </w:r>
          </w:p>
        </w:tc>
      </w:tr>
      <w:tr>
        <w:tc>
          <w:tcPr>
            <w:tcW w:type="dxa" w:w="3200"/>
            <w:shd w:fill="F2F2F2" w:val="clear"/>
          </w:tcPr>
          <w:p>
            <w:r>
              <w:rPr>
                <w:b/>
                <w:bCs/>
              </w:rPr>
              <w:t xml:space="preserve">Debt</w:t>
            </w:r>
          </w:p>
        </w:tc>
        <w:tc>
          <w:tcPr>
            <w:tcW w:type="dxa" w:w="5800"/>
          </w:tcPr>
          <w:p>
            <w:r>
              <w:t xml:space="preserve">Almost debt-free</w:t>
            </w:r>
          </w:p>
        </w:tc>
      </w:tr>
    </w:tbl>
    <w:p>
      <w:pPr>
        <w:spacing w:after="100"/>
      </w:pPr>
    </w:p>
    <w:p>
      <w:pPr>
        <w:spacing w:after="120"/>
      </w:pPr>
      <w:r>
        <w:t xml:space="preserve">Revenue growth (21% YoY, 14.57% CAGR ahead of the industry median) is solid, and the company is debt-free, but ROCE (7.48%) and ROE (5.65-6.06%) are weak for a company already carrying a Rs 14,907 Cr market cap -- returns have not yet caught up to the scale.</w:t>
      </w:r>
    </w:p>
    <w:p>
      <w:pPr>
        <w:pStyle w:val="Heading1"/>
        <w:spacing w:after="120" w:before="280"/>
      </w:pPr>
      <w:r>
        <w:t xml:space="preserve">Technical Read (Weekly / Monthly MACD + Bollinger Bands, or RSI/CCI/Williams %R proxy)</w:t>
      </w:r>
    </w:p>
    <w:p>
      <w:pPr>
        <w:spacing w:after="120"/>
      </w:pPr>
      <w:r>
        <w:t xml:space="preserve">Not pulled this pass.</w:t>
      </w:r>
    </w:p>
    <w:p>
      <w:pPr>
        <w:pStyle w:val="Heading1"/>
        <w:spacing w:after="120" w:before="280"/>
      </w:pPr>
      <w:r>
        <w:t xml:space="preserve">ValuePickr Community Signal</w:t>
      </w:r>
    </w:p>
    <w:p>
      <w:pPr>
        <w:spacing w:after="120"/>
      </w:pPr>
      <w:r>
        <w:t xml:space="preserve">Read the 50 most recent posts (#90-148, spanning Aug 2023 to Jul 2026) of a 148-post thread. Gautam_Chopra (trusted, elevated-tier) was the most consistently active poster through 2024-2025, with Midhunjoe and tbhavesh (both trusted, elevated-tier) also regularly engaged into 2026.</w:t>
      </w:r>
    </w:p>
    <w:p>
      <w:pPr>
        <w:spacing w:after="120"/>
      </w:pPr>
      <w:r>
        <w:rPr>
          <w:b/>
          <w:bCs/>
          <w:sz w:val="20"/>
          <w:szCs w:val="20"/>
        </w:rPr>
        <w:t xml:space="preserve">High-conviction call from a top contributor: </w:t>
      </w:r>
      <w:r>
        <w:rPr>
          <w:sz w:val="20"/>
          <w:szCs w:val="20"/>
        </w:rPr>
        <w:t xml:space="preserve">Gautam_Chopra (trusted) reported (Jan 2025) that all three business verticals delivered highest-ever revenue and profit with profit growth outpacing revenue growth on operating leverage. Midhunjoe (trusted, Jan 2026) highlighted continuing quarter-on-quarter operating margin expansion (to 37%, management guiding further expansion). rks00 (non-trusted, May 2026, detailed) reported management's own guidance to roughly quadruple PAT from Rs 243 Cr to ~Rs 1,000 Cr over the next 4 years -- a specific, credible target, though management is described as normally cagey about forward guidance, making this notable. tbhavesh (trusted) flagged in Feb 2026 that revenue growth has slowed even as margins expand, and separately noted meaningful institutional (DII/FII) selling into retail buying around the same period. rahulshares (non-trusted, Feb 2026) argued the stock is cheap on a ~35x FCF basis versus other new-age platform companies. Midhunjoe (Jul 2026, most recent) noted peer Cardekho's planned IPO at a Rs 13,000 Cr valuation, similar to CarTrade's own valuation, with OLX and Shriram Automall as additional unpriced optionality.</w:t>
      </w:r>
    </w:p>
    <w:p>
      <w:pPr>
        <w:pStyle w:val="Heading1"/>
        <w:spacing w:after="120" w:before="280"/>
      </w:pPr>
      <w:r>
        <w:t xml:space="preserve">BSE Corporate Actions / Other Red Flags</w:t>
      </w:r>
    </w:p>
    <w:p>
      <w:pPr>
        <w:spacing w:after="120"/>
      </w:pPr>
      <w:r>
        <w:t xml:space="preserve">Not checked this pass.</w:t>
      </w:r>
    </w:p>
    <w:p>
      <w:pPr>
        <w:pStyle w:val="Heading1"/>
        <w:spacing w:after="120" w:before="280"/>
      </w:pPr>
      <w:r>
        <w:t xml:space="preserve">Bull Case</w:t>
      </w:r>
    </w:p>
    <w:p>
      <w:pPr>
        <w:pStyle w:val="ListParagraph"/>
        <w:numPr>
          <w:ilvl w:val="0"/>
          <w:numId w:val="1"/>
        </w:numPr>
        <w:spacing w:after="60"/>
      </w:pPr>
      <w:r>
        <w:t xml:space="preserve">Management's own specific, credible guidance to roughly 4x PAT (Rs 243 Cr to ~Rs 1,000 Cr) over 4 years, from a management not normally given to forward guidance</w:t>
      </w:r>
    </w:p>
    <w:p>
      <w:pPr>
        <w:pStyle w:val="ListParagraph"/>
        <w:numPr>
          <w:ilvl w:val="0"/>
          <w:numId w:val="1"/>
        </w:numPr>
        <w:spacing w:after="60"/>
      </w:pPr>
      <w:r>
        <w:t xml:space="preserve">Consistent quarter-on-quarter operating margin expansion (to 37%) with all three business verticals hitting highest-ever revenue and profit</w:t>
      </w:r>
    </w:p>
    <w:p>
      <w:pPr>
        <w:pStyle w:val="ListParagraph"/>
        <w:numPr>
          <w:ilvl w:val="0"/>
          <w:numId w:val="1"/>
        </w:numPr>
        <w:spacing w:after="60"/>
      </w:pPr>
      <w:r>
        <w:t xml:space="preserve">Multiple trusted users engaged consistently over 2+ years with real substance, not just sentiment</w:t>
      </w:r>
    </w:p>
    <w:p>
      <w:pPr>
        <w:pStyle w:val="ListParagraph"/>
        <w:numPr>
          <w:ilvl w:val="0"/>
          <w:numId w:val="1"/>
        </w:numPr>
        <w:spacing w:after="60"/>
      </w:pPr>
      <w:r>
        <w:t xml:space="preserve">OLX India and Shriram Automall provide additional, currently unpriced optionality versus peer valuations (e.g., Cardekho's planned IPO)</w:t>
      </w:r>
    </w:p>
    <w:p>
      <w:pPr>
        <w:pStyle w:val="Heading1"/>
        <w:spacing w:after="120" w:before="280"/>
      </w:pPr>
      <w:r>
        <w:t xml:space="preserve">Bear Case / Key Risks</w:t>
      </w:r>
    </w:p>
    <w:p>
      <w:pPr>
        <w:pStyle w:val="ListParagraph"/>
        <w:numPr>
          <w:ilvl w:val="0"/>
          <w:numId w:val="1"/>
        </w:numPr>
        <w:spacing w:after="60"/>
      </w:pPr>
      <w:r>
        <w:t xml:space="preserve">ROCE (7.48%) and ROE (5.65-6.06%) remain weak for a company already at Rs 14,907 Cr market cap</w:t>
      </w:r>
    </w:p>
    <w:p>
      <w:pPr>
        <w:pStyle w:val="ListParagraph"/>
        <w:numPr>
          <w:ilvl w:val="0"/>
          <w:numId w:val="1"/>
        </w:numPr>
        <w:spacing w:after="60"/>
      </w:pPr>
      <w:r>
        <w:t xml:space="preserve">A trusted user flagged that revenue growth has slowed even as the market rewards margin expansion -- a real question of how long margin-driven earnings growth alone can sustain the valuation</w:t>
      </w:r>
    </w:p>
    <w:p>
      <w:pPr>
        <w:pStyle w:val="ListParagraph"/>
        <w:numPr>
          <w:ilvl w:val="0"/>
          <w:numId w:val="1"/>
        </w:numPr>
        <w:spacing w:after="60"/>
      </w:pPr>
      <w:r>
        <w:t xml:space="preserve">Institutional investors were reported reducing positions into retail buying around Feb 2026, a mixed signal on smart-money conviction</w:t>
      </w:r>
    </w:p>
    <w:p>
      <w:pPr>
        <w:pStyle w:val="ListParagraph"/>
        <w:numPr>
          <w:ilvl w:val="0"/>
          <w:numId w:val="1"/>
        </w:numPr>
        <w:spacing w:after="60"/>
      </w:pPr>
      <w:r>
        <w:t xml:space="preserve">Management's own 4x-in-4-years framing implies roughly 40-45% annualized PAT growth -- strong, but well short of what a 10x-in-2-3-years thesis requires</w:t>
      </w:r>
    </w:p>
    <w:p>
      <w:pPr>
        <w:pStyle w:val="Heading1"/>
        <w:spacing w:after="120" w:before="280"/>
      </w:pPr>
      <w:r>
        <w:t xml:space="preserve">Market-Cap Tier (informational — not a gate in this project)</w:t>
      </w:r>
    </w:p>
    <w:p>
      <w:pPr>
        <w:spacing w:after="120"/>
      </w:pPr>
      <w:r>
        <w:rPr>
          <w:b/>
          <w:bCs/>
        </w:rPr>
        <w:t xml:space="preserve">Mid-large-cap (~Rs 14,907 Cr)</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A genuinely improving platform business with credible management guidance, but the size and the growth rate management itself is guiding to don't fit a 10x-in-2-3-years framework</w:t>
      </w:r>
    </w:p>
    <w:p>
      <w:pPr>
        <w:pStyle w:val="ListParagraph"/>
        <w:numPr>
          <w:ilvl w:val="0"/>
          <w:numId w:val="1"/>
        </w:numPr>
        <w:spacing w:after="60"/>
      </w:pPr>
      <w:r>
        <w:t xml:space="preserve">Consistent, multi-year trusted engagement and a specific, credible 4x-PAT-in-4-years management target are real positives that most candidates in this screen don't have</w:t>
      </w:r>
    </w:p>
    <w:p>
      <w:pPr>
        <w:pStyle w:val="ListParagraph"/>
        <w:numPr>
          <w:ilvl w:val="0"/>
          <w:numId w:val="1"/>
        </w:numPr>
        <w:spacing w:after="60"/>
      </w:pPr>
      <w:r>
        <w:t xml:space="preserve">But that same management guidance (roughly 40-45% annualized PAT growth) is explicitly not a 10x-in-2-3-years trajectory, and current returns (ROCE/ROE) are still weak for the company's existing Rs 14,907 Cr size</w:t>
      </w:r>
    </w:p>
    <w:p>
      <w:pPr>
        <w:pStyle w:val="ListParagraph"/>
        <w:numPr>
          <w:ilvl w:val="0"/>
          <w:numId w:val="1"/>
        </w:numPr>
        <w:spacing w:after="60"/>
      </w:pPr>
      <w:r>
        <w:t xml:space="preserve">Conviction is set to Medium reflecting genuine business quality and trusted engagement, with thesis_fit as neither given the mismatch between the credible growth path and this screen's more aggressive framework</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2026-08-23T07:04:35.931Z</dcterms:created>
  <dcterms:modified xsi:type="dcterms:W3CDTF">2026-08-23T07:04:35.932Z</dcterms:modified>
</cp:coreProperties>
</file>

<file path=docProps/custom.xml><?xml version="1.0" encoding="utf-8"?>
<Properties xmlns="http://schemas.openxmlformats.org/officeDocument/2006/custom-properties" xmlns:vt="http://schemas.openxmlformats.org/officeDocument/2006/docPropsVTypes"/>
</file>