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Ceigall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~Rs 5,900 Cr roads / highways EPC contractor (structures, elevated corridors, tunnels, metro) with a Rs 18,554 Cr order book (~4.6x revenue) and ~25% ROCE - strong execution and visibility, but a low-multiple sector, HAM equity drag and mid-cap size keep it out of a 10x/100x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Ceigall India Ltd (NSE: CEIGALL, IPO August 2024), 20+ years in infrastructure EPC - highways, expressways, flyovers, tunnels, elevated roads and metro rail - executing EPC, HAM, DBFOT and now renewable-linked projects. Founder-promoter led (Singla family), Punjab-headquartered.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5,927 Cr (mid-cap)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(FY26)</w:t>
            </w:r>
          </w:p>
        </w:tc>
        <w:tc>
          <w:tcPr>
            <w:tcW w:type="dxa" w:w="5800"/>
          </w:tcPr>
          <w:p>
            <w:r>
              <w:t xml:space="preserve">~Rs 4,022 Cr (+17% YoY); Q4FY26 ~Rs 1,387 Cr (+37%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(FY26 / Q4)</w:t>
            </w:r>
          </w:p>
        </w:tc>
        <w:tc>
          <w:tcPr>
            <w:tcW w:type="dxa" w:w="5800"/>
          </w:tcPr>
          <w:p>
            <w:r>
              <w:t xml:space="preserve">Q4FY26 PAT +~71-79% YoY (~Rs 129 Cr); Q4 OPM 13% -&gt; 16%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~25% (recent average)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 (31-Mar-2026)</w:t>
            </w:r>
          </w:p>
        </w:tc>
        <w:tc>
          <w:tcPr>
            <w:tcW w:type="dxa" w:w="5800"/>
          </w:tcPr>
          <w:p>
            <w:r>
              <w:t xml:space="preserve">~Rs 18,554 Cr - ~4.6x FY26 revenue (19 EPC, 10 HAM, 1 DBFOT, 7 renewable projects)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order inflow</w:t>
            </w:r>
          </w:p>
        </w:tc>
        <w:tc>
          <w:tcPr>
            <w:tcW w:type="dxa" w:w="5800"/>
          </w:tcPr>
          <w:p>
            <w:r>
              <w:t xml:space="preserve">~Rs 11,332 Cr vs ~Rs 5,000 Cr guidance (~35% from renewables)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Ceigall executes well - ~25% ROCE, Q4FY26 revenue +37% with PAT +~75% and operating margin up to ~16%, and an order book of ~Rs 18,554 Cr that is ~4.6x FY26 revenue, built on FY26 inflows (~Rs 11,332 Cr) that more than doubled the ~Rs 5,000 Cr guidance. Full-year FY26 revenue growth was a modest ~17%, so order-book-to-revenue conversion has been the constraint. The structural issues are sector-wide: roads EPC trades at low-teens P/E, HAM projects tie up sponsor equity and depress consolidated returns/cash flow, and receivables/retention are heavy. At ~Rs 5,927 Cr the company is already a genuine mid-cap; a 10x implies ~Rs 59,000 Cr and 100x-in-10-years is not credible for a roads EPC. The order book supports several years of growth, but not a re-rating of the kind a 10x thesis needs.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Roads / highways EPC (with metro, tunnels, elevated structures, some renewables)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Tier-2 EPC + HAM developer for highways and urban transport structures; diversifying into renewable-linked civil work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Execution bandwidth, bid discipline and working-capital / HAM-equity funding; order awards driven by NHAI/MoRTH and state pipelines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PNC Infratech, KNR Constructions, H.G. Infra Engineering, G R Infraprojects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Roads infra is not a listed active theme. Order visibility is strong, but the value chain here has no pricing-power node - awards are competitively bid, HAM equity drags consolidated returns, and the market prices the whole cohort at low-teens P/E.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full-year revenue +17% but Q4FY26 +37% with PAT +~75% and margin up to ~16% - execution picked up into year-end; order-book conversion has lagged the ~4.6x book.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Roads EPC trades ~10-15x; even strong FY27-28 execution off the order book gets to ~1.3-1.5x the current market cap, not a 10x.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in equipment and HAM SPV equity; recently expanded into renewable-linked projects (~35% of FY26 inflow) - a mild scope broadening within infra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plain highways into tunnels, elevated corridors, metro and renewable civil work - genuine complexity step-up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no dedicated ValuePickr thread; mid-cap.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(Step 3.05: forum search surfaced only an unrelated railway-capex thread). Research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on ValuePickr - Sovrenn-news seed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Sovrenn note (2026-05-08): Q4FY26 sales +37% YoY to Rs 1,387 Cr, PAT +79% YoY to Rs 129 Cr, OPM 13% -&gt; 16%, QoQ sales +40% / PAT +79%. Corroborated by the FY26 results and the ~Rs 18,554 Cr order book / ~Rs 11,332 Cr FY26 inflow. Datapoint holds up.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18,554 Cr order book (~4.6x FY26 revenue) with FY26 inflow more than double guidance - multi-year revenue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execution metrics: ~25% ROCE, Q4FY26 revenue +37% / PAT +~75%, margin up to ~16%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Capability step-up into tunnels, metro, elevated corridors and renewable civil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Founder-promoter led with a 20-year track record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Roads EPC is a low-multiple sector (low-teens P/E); HAM projects tie up equity and drag consolidated returns/cash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grew only ~17% - order-book-to-revenue conversion is the binding constraint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mid-cap (~Rs 5,927 Cr) - a 10x implies ~Rs 59,000 Cr; 100x-in-10-years not credible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Receivables / retention heavy; dependent on NHAI/MoRTH and state award pace and payment cycles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5,927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Well-run roads EPC with an exceptional order book, but a low-multiple sector, HAM equity drag and mid-cap size make it 'neither'; conviction 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trigger (Q4FY26 +37% sales / +79% PAT, OPM 13% -&gt; 16%) holds up and the ~Rs 18,554 Cr order book (~4.6x revenue) is genuinely strong.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this is a genuine mid-cap (~Rs 5,927 Cr) in a structurally low-multiple sector: roads EPC trades at low-teens P/E, HAM equity commitments drag consolidated returns and cash flow, and FY26 revenue grew only ~17% despite the order book. There is no named structural inflection - it is a good contractor executing a strong pipeline. Per the large-cap / mid-cap rule this is 'neither' on size and sector math.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(roads infra is not a listed theme; the renewable civil work is adjacent to priority-2 at most). No red flag. conviction Medium (execution quality and order visibility are real); thesis_fit 'neither'; revisit_after_30d false.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2026-09-02T14:23:03.763Z</dcterms:created>
  <dcterms:modified xsi:type="dcterms:W3CDTF">2026-09-02T14:23:03.764Z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