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Ceinsys Tech Ltd</w:t>
      </w:r>
    </w:p>
    <w:p>
      <w:pPr>
        <w:pBdr>
          <w:bottom w:val="single" w:color="CCCCCC" w:sz="6" w:space="8"/>
        </w:pBdr>
        <w:spacing w:after="200"/>
      </w:pPr>
      <w:r>
        <w:rPr>
          <w:i/>
          <w:iCs/>
          <w:color w:val="666666"/>
          <w:sz w:val="22"/>
          <w:szCs w:val="22"/>
        </w:rPr>
        <w:t xml:space="preserve">Strong headline geospatial growth undercut by an undisclosed leadership exit and a cash-flow problem a trusted user says will 'take a few more quarters to resolve'</w:t>
      </w:r>
    </w:p>
    <w:p>
      <w:pPr>
        <w:pStyle w:val="Heading1"/>
        <w:spacing w:after="120" w:before="280"/>
      </w:pPr>
      <w:r>
        <w:t xml:space="preserve">Business Overview</w:t>
      </w:r>
    </w:p>
    <w:p>
      <w:pPr>
        <w:spacing w:after="120"/>
      </w:pPr>
      <w:r>
        <w:t xml:space="preserve">Ceinsys Tech is a small-cap geospatial engineering and IT solutions company (GIS data services, enterprise Web GIS/DSS, and automotive/industrial engineering via its Technology Associates and VTS subsidiaries), heavily levered to India's Jal Jeevan Mission (JJM) water-infrastructure digitization program and expanding into system-integration deals (AI-powered monitoring, defense-adjacent hardware supply) and a new Google Cloud partnership.</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1,599 Cr</w:t>
            </w:r>
          </w:p>
        </w:tc>
      </w:tr>
      <w:tr>
        <w:tc>
          <w:tcPr>
            <w:tcW w:type="dxa" w:w="3200"/>
            <w:shd w:fill="F2F2F2" w:val="clear"/>
          </w:tcPr>
          <w:p>
            <w:r>
              <w:rPr>
                <w:b/>
                <w:bCs/>
              </w:rPr>
              <w:t xml:space="preserve">52-week range</w:t>
            </w:r>
          </w:p>
        </w:tc>
        <w:tc>
          <w:tcPr>
            <w:tcW w:type="dxa" w:w="5800"/>
          </w:tcPr>
          <w:p>
            <w:r>
              <w:t xml:space="preserve">Rs 736 - Rs 1,952</w:t>
            </w:r>
          </w:p>
        </w:tc>
      </w:tr>
      <w:tr>
        <w:tc>
          <w:tcPr>
            <w:tcW w:type="dxa" w:w="3200"/>
            <w:shd w:fill="F2F2F2" w:val="clear"/>
          </w:tcPr>
          <w:p>
            <w:r>
              <w:rPr>
                <w:b/>
                <w:bCs/>
              </w:rPr>
              <w:t xml:space="preserve">ROCE</w:t>
            </w:r>
          </w:p>
        </w:tc>
        <w:tc>
          <w:tcPr>
            <w:tcW w:type="dxa" w:w="5800"/>
          </w:tcPr>
          <w:p>
            <w:r>
              <w:t xml:space="preserve">27.5%</w:t>
            </w:r>
          </w:p>
        </w:tc>
      </w:tr>
      <w:tr>
        <w:tc>
          <w:tcPr>
            <w:tcW w:type="dxa" w:w="3200"/>
            <w:shd w:fill="F2F2F2" w:val="clear"/>
          </w:tcPr>
          <w:p>
            <w:r>
              <w:rPr>
                <w:b/>
                <w:bCs/>
              </w:rPr>
              <w:t xml:space="preserve">ROE</w:t>
            </w:r>
          </w:p>
        </w:tc>
        <w:tc>
          <w:tcPr>
            <w:tcW w:type="dxa" w:w="5800"/>
          </w:tcPr>
          <w:p>
            <w:r>
              <w:t xml:space="preserve">24.8%</w:t>
            </w:r>
          </w:p>
        </w:tc>
      </w:tr>
      <w:tr>
        <w:tc>
          <w:tcPr>
            <w:tcW w:type="dxa" w:w="3200"/>
            <w:shd w:fill="F2F2F2" w:val="clear"/>
          </w:tcPr>
          <w:p>
            <w:r>
              <w:rPr>
                <w:b/>
                <w:bCs/>
              </w:rPr>
              <w:t xml:space="preserve">P/E</w:t>
            </w:r>
          </w:p>
        </w:tc>
        <w:tc>
          <w:tcPr>
            <w:tcW w:type="dxa" w:w="5800"/>
          </w:tcPr>
          <w:p>
            <w:r>
              <w:t xml:space="preserve">12.0-12.8</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5-yr profit CAGR</w:t>
            </w:r>
          </w:p>
        </w:tc>
        <w:tc>
          <w:tcPr>
            <w:tcW w:type="dxa" w:w="5800"/>
          </w:tcPr>
          <w:p>
            <w:r>
              <w:t xml:space="preserve">133%</w:t>
            </w:r>
          </w:p>
        </w:tc>
      </w:tr>
      <w:tr>
        <w:tc>
          <w:tcPr>
            <w:tcW w:type="dxa" w:w="3200"/>
            <w:shd w:fill="F2F2F2" w:val="clear"/>
          </w:tcPr>
          <w:p>
            <w:r>
              <w:rPr>
                <w:b/>
                <w:bCs/>
              </w:rPr>
              <w:t xml:space="preserve">Revenue CAGR</w:t>
            </w:r>
          </w:p>
        </w:tc>
        <w:tc>
          <w:tcPr>
            <w:tcW w:type="dxa" w:w="5800"/>
          </w:tcPr>
          <w:p>
            <w:r>
              <w:t xml:space="preserve">15.16% (vs industry 2.48%)</w:t>
            </w:r>
          </w:p>
        </w:tc>
      </w:tr>
    </w:tbl>
    <w:p>
      <w:pPr>
        <w:spacing w:after="100"/>
      </w:pPr>
    </w:p>
    <w:p>
      <w:pPr>
        <w:spacing w:after="120"/>
      </w:pPr>
      <w:r>
        <w:t xml:space="preserve">Headline return ratios (ROCE 27.5%, ROE 24.8%, near-debt-free) and recent segment growth (Geospatial Engineering revenue +122% YoY in Q3, 9M Geospatial +77%, Technology Solutions +79%) look excellent on the surface. However, cash conversion is a real, unresolved problem: FY25 cash from operations was just Rs 14.46 Cr against Rs 89.70 Cr EBITDA, unbilled revenue has risen from Rs 250 Cr to over Rs 300 Cr rather than falling as management had guided, and the working-capital cycle remains ~160 days. A trusted user's most recent post in the thread (16-Aug-2026) states plainly the cash-flow problems will take a few more quarters to resolve and the stock 'might remain range bound.'</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50 most recent posts (#207-260) of an active thread with substantial trusted-user engagement (Satishwe, r8b8, RocketMan, Ghonarbochon, Prdnt_investor, idikasony all elevated-trusted, posting regularly). The thread surfaced a real governance concern: the company did not publicly disclose the departure of Surej, the international-business head whose LinkedIn later showed him at a different company as CEO — one long-time holder (rahulshares) exited the position specifically over this non-disclosure, and another poster (Mehul1) called it 'a red flag from a governance/transparency perspective.' Stock price has been falling continuously since Oct 2025 per a user query, despite the strong topline headline numbers.</w:t>
      </w:r>
    </w:p>
    <w:p>
      <w:pPr>
        <w:spacing w:after="120"/>
      </w:pPr>
      <w:r>
        <w:rPr>
          <w:b/>
          <w:bCs/>
          <w:sz w:val="20"/>
          <w:szCs w:val="20"/>
        </w:rPr>
        <w:t xml:space="preserve">High-conviction call from a top contributor: </w:t>
      </w:r>
      <w:r>
        <w:rPr>
          <w:sz w:val="20"/>
          <w:szCs w:val="20"/>
        </w:rPr>
        <w:t xml:space="preserve">Ghonarbochon (trusted, elevated-tier, per state.json's own notes 'stale &gt;180d') named Ceinsys among his 'core portfolio' and 'high conviction bets' in mid-to-late 2025 posts made in a different (portfolio) thread. Within the Ceinsys company thread itself, the most recent trusted-user post (Prdnt_investor, 16-Aug-2026, one week before this scan) is explicitly cautious about ongoing cash-flow problems rather than reaffirming the original conviction.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2026-08-16 — Prdnt_investor (trusted, elevated-tier)</w:t>
      </w:r>
      <w:r>
        <w:rPr>
          <w:i/>
          <w:iCs/>
          <w:color w:val="666666"/>
          <w:sz w:val="18"/>
          <w:szCs w:val="18"/>
        </w:rPr>
        <w:t xml:space="preserve"> (Ceinsys Tech company thread)</w:t>
      </w:r>
      <w:r>
        <w:rPr>
          <w:sz w:val="20"/>
          <w:szCs w:val="20"/>
        </w:rPr>
        <w:br/>
        <w:t xml:space="preserve">: Most recent post in the thread: cash-flow problems will take a few more quarters to resolve, stock might remain range bound — a caution flag, not a bullish update, and the freshest signal available.</w:t>
      </w:r>
    </w:p>
    <w:p>
      <w:pPr>
        <w:spacing w:after="100"/>
      </w:pPr>
      <w:r>
        <w:rPr>
          <w:b/>
          <w:bCs/>
          <w:sz w:val="20"/>
          <w:szCs w:val="20"/>
        </w:rPr>
        <w:t xml:space="preserve">2025-07-02 / 2025-08-29 — Ghonarbochon (trusted, elevated-tier)</w:t>
      </w:r>
      <w:r>
        <w:rPr>
          <w:i/>
          <w:iCs/>
          <w:color w:val="666666"/>
          <w:sz w:val="18"/>
          <w:szCs w:val="18"/>
        </w:rPr>
        <w:t xml:space="preserve"> (Investment journey of a late starter)</w:t>
      </w:r>
      <w:r>
        <w:rPr>
          <w:sz w:val="20"/>
          <w:szCs w:val="20"/>
        </w:rPr>
        <w:br/>
        <w:t xml:space="preserve">: Named Ceinsys among 'core portfolio' and 'high conviction bets' twice in his own portfolio-review thread.</w:t>
      </w:r>
    </w:p>
    <w:p>
      <w:pPr>
        <w:pStyle w:val="Heading1"/>
        <w:spacing w:after="120" w:before="280"/>
      </w:pPr>
      <w:r>
        <w:t xml:space="preserve">BSE Corporate Actions / Other Red Flags</w:t>
      </w:r>
    </w:p>
    <w:p>
      <w:pPr>
        <w:spacing w:after="120"/>
      </w:pPr>
      <w:r>
        <w:t xml:space="preserve">No SEBI/regulatory action found. The undisclosed executive departure (Surej, international-business head) is a governance/disclosure concern flagged directly by multiple forum posters, though it is not itself a SEBI enforcement matter.</w:t>
      </w:r>
    </w:p>
    <w:p>
      <w:pPr>
        <w:pStyle w:val="Heading1"/>
        <w:spacing w:after="120" w:before="280"/>
      </w:pPr>
      <w:r>
        <w:t xml:space="preserve">Bull Case</w:t>
      </w:r>
    </w:p>
    <w:p>
      <w:pPr>
        <w:pStyle w:val="ListParagraph"/>
        <w:numPr>
          <w:ilvl w:val="0"/>
          <w:numId w:val="1"/>
        </w:numPr>
        <w:spacing w:after="60"/>
      </w:pPr>
      <w:r>
        <w:t xml:space="preserve">Genuinely strong recent segment growth in the core Geospatial business (+122% YoY in Q3, +77% over 9M) directly tied to the large, government-backed Jal Jeevan Mission 2.0 digital-monitoring mandate</w:t>
      </w:r>
    </w:p>
    <w:p>
      <w:pPr>
        <w:pStyle w:val="ListParagraph"/>
        <w:numPr>
          <w:ilvl w:val="0"/>
          <w:numId w:val="1"/>
        </w:numPr>
        <w:spacing w:after="60"/>
      </w:pPr>
      <w:r>
        <w:t xml:space="preserve">Excellent headline return ratios (ROCE 27.5%, ROE 24.8%) and near-debt-free balance sheet at a reasonable ~12-13x P/E</w:t>
      </w:r>
    </w:p>
    <w:p>
      <w:pPr>
        <w:pStyle w:val="ListParagraph"/>
        <w:numPr>
          <w:ilvl w:val="0"/>
          <w:numId w:val="1"/>
        </w:numPr>
        <w:spacing w:after="60"/>
      </w:pPr>
      <w:r>
        <w:t xml:space="preserve">New Google Cloud co-sell partnership (announced Aug 2026) could open access to larger enterprise and government customers</w:t>
      </w:r>
    </w:p>
    <w:p>
      <w:pPr>
        <w:pStyle w:val="ListParagraph"/>
        <w:numPr>
          <w:ilvl w:val="0"/>
          <w:numId w:val="1"/>
        </w:numPr>
        <w:spacing w:after="60"/>
      </w:pPr>
      <w:r>
        <w:t xml:space="preserve">Multiple trusted-elevated users have engaged consistently and in depth with the story, including one who named it among his core/high-conviction holdings</w:t>
      </w:r>
    </w:p>
    <w:p>
      <w:pPr>
        <w:pStyle w:val="Heading1"/>
        <w:spacing w:after="120" w:before="280"/>
      </w:pPr>
      <w:r>
        <w:t xml:space="preserve">Bear Case / Key Risks</w:t>
      </w:r>
    </w:p>
    <w:p>
      <w:pPr>
        <w:pStyle w:val="ListParagraph"/>
        <w:numPr>
          <w:ilvl w:val="0"/>
          <w:numId w:val="1"/>
        </w:numPr>
        <w:spacing w:after="60"/>
      </w:pPr>
      <w:r>
        <w:t xml:space="preserve">An undisclosed executive departure (international-business head, previously central to the US-growth thesis) is a real, forum-flagged governance/transparency concern — one long-time holder exited the stock specifically over this</w:t>
      </w:r>
    </w:p>
    <w:p>
      <w:pPr>
        <w:pStyle w:val="ListParagraph"/>
        <w:numPr>
          <w:ilvl w:val="0"/>
          <w:numId w:val="1"/>
        </w:numPr>
        <w:spacing w:after="60"/>
      </w:pPr>
      <w:r>
        <w:t xml:space="preserve">Cash conversion is a genuine, unresolved problem: FY25 CFO of just Rs 14.46 Cr against Rs 89.70 Cr EBITDA, and unbilled revenue rising rather than falling despite management guidance that it would improve</w:t>
      </w:r>
    </w:p>
    <w:p>
      <w:pPr>
        <w:pStyle w:val="ListParagraph"/>
        <w:numPr>
          <w:ilvl w:val="0"/>
          <w:numId w:val="1"/>
        </w:numPr>
        <w:spacing w:after="60"/>
      </w:pPr>
      <w:r>
        <w:t xml:space="preserve">The most recent trusted-user signal in the thread (one week before this scan) is explicitly cautious, not bullish, on the exact same cash-flow issue</w:t>
      </w:r>
    </w:p>
    <w:p>
      <w:pPr>
        <w:pStyle w:val="ListParagraph"/>
        <w:numPr>
          <w:ilvl w:val="0"/>
          <w:numId w:val="1"/>
        </w:numPr>
        <w:spacing w:after="60"/>
      </w:pPr>
      <w:r>
        <w:t xml:space="preserve">Stock price has fallen continuously since Oct 2025 despite strong topline growth headlines — the market itself appears to be pricing in these quality concerns</w:t>
      </w:r>
    </w:p>
    <w:p>
      <w:pPr>
        <w:pStyle w:val="Heading1"/>
        <w:spacing w:after="120" w:before="280"/>
      </w:pPr>
      <w:r>
        <w:t xml:space="preserve">Market-Cap Tier (informational — not a gate in this project)</w:t>
      </w:r>
    </w:p>
    <w:p>
      <w:pPr>
        <w:spacing w:after="120"/>
      </w:pPr>
      <w:r>
        <w:rPr>
          <w:b/>
          <w:bCs/>
        </w:rPr>
        <w:t xml:space="preserve">small-cap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Strong topline growth undermined by a real governance disclosure lapse and an unresolved, trusted-user-flagged cash-flow problem</w:t>
      </w:r>
    </w:p>
    <w:p>
      <w:pPr>
        <w:pStyle w:val="ListParagraph"/>
        <w:numPr>
          <w:ilvl w:val="0"/>
          <w:numId w:val="1"/>
        </w:numPr>
        <w:spacing w:after="60"/>
      </w:pPr>
      <w:r>
        <w:t xml:space="preserve">The headline growth and return-ratio numbers are genuinely strong, and the original trusted signal (Ghonarbochon naming it a core/high-conviction holding) is real.</w:t>
      </w:r>
    </w:p>
    <w:p>
      <w:pPr>
        <w:pStyle w:val="ListParagraph"/>
        <w:numPr>
          <w:ilvl w:val="0"/>
          <w:numId w:val="1"/>
        </w:numPr>
        <w:spacing w:after="60"/>
      </w:pPr>
      <w:r>
        <w:t xml:space="preserve">But the company-specific thread surfaces two concrete, current quality concerns rather than one-off noise: an undisclosed leadership departure that a poster explicitly called a governance red flag (severe enough that one long-time holder exited over it), and a cash-flow/working-capital problem that a trusted user's most recent post — the freshest data point in the thread — says is unresolved and will take several more quarters to fix.</w:t>
      </w:r>
    </w:p>
    <w:p>
      <w:pPr>
        <w:pStyle w:val="ListParagraph"/>
        <w:numPr>
          <w:ilvl w:val="0"/>
          <w:numId w:val="1"/>
        </w:numPr>
        <w:spacing w:after="60"/>
      </w:pPr>
      <w:r>
        <w:t xml:space="preserve">Per this project's methodology, no red flag tier (AVOID/HIGH CAUTION/EXCLUDE) formally applies here — this isn't a going-concern or SEBI-action issue — but the combination of a governance disclosure lapse and an ongoing, trusted-confirmed cash conversion problem is a real quality drag that should cap conviction below where the headline growth numbers alone would suggest.</w:t>
      </w:r>
    </w:p>
    <w:p>
      <w:pPr>
        <w:pStyle w:val="ListParagraph"/>
        <w:numPr>
          <w:ilvl w:val="0"/>
          <w:numId w:val="1"/>
        </w:numPr>
        <w:spacing w:after="60"/>
      </w:pPr>
      <w:r>
        <w:t xml:space="preserve">thesis_fit is set to 'neither' until the cash-flow issue and governance concerns are resolved — the underlying JJM-driven growth opportunity is real, but this project's own recency-weighting principle means the freshest, most negative signal in the thread should not be smoothed over by an older, more bullish one. Conviction set to Low; worth revisiting once the working-capital cycle shows genuine improvement.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2026-08-23T03:36:11.893Z</dcterms:created>
  <dcterms:modified xsi:type="dcterms:W3CDTF">2026-08-23T03:36:11.894Z</dcterms:modified>
</cp:coreProperties>
</file>

<file path=docProps/custom.xml><?xml version="1.0" encoding="utf-8"?>
<Properties xmlns="http://schemas.openxmlformats.org/officeDocument/2006/custom-properties" xmlns:vt="http://schemas.openxmlformats.org/officeDocument/2006/docPropsVTypes"/>
</file>