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Chamunda Electrical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Rs 47 Cr micro-cap that operates and maintains transmission substations for Gujarat's state grid - debt-free, ~27% ROE, ~9x earnings, and a GETCO annuity contract that could lift revenue ~two-thirds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Chamunda Electrical Ltd (NSE/BSE SME: CHAMUNDA), founded 2013, does operation &amp; maintenance of electrical substations up to 66 KV, testing &amp; commissioning up to 220 KV, erection of EHV-class equipment up to 220 KV, and runs a 1.5 MW solar park in Gujarat. Its principal customer is the Gujarat state transmission utility (GETCO). Promoter holding ~72.6%.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47 Cr (SME micro-cap)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(latest FY)</w:t>
            </w:r>
          </w:p>
        </w:tc>
        <w:tc>
          <w:tcPr>
            <w:tcW w:type="dxa" w:w="5800"/>
          </w:tcPr>
          <w:p>
            <w:r>
              <w:t xml:space="preserve">Revenue ~Rs 31.6 Cr; PAT ~Rs 5.1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~27% (3-year average)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~9x trailing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Key catalyst</w:t>
            </w:r>
          </w:p>
        </w:tc>
        <w:tc>
          <w:tcPr>
            <w:tcW w:type="dxa" w:w="5800"/>
          </w:tcPr>
          <w:p>
            <w:r>
              <w:t xml:space="preserve">GETCO Letter of Award (2026-04-02): Rs 63 Cr, 3-year O&amp;M of 88 units of 66 KV substations (~Rs 21 Cr/yr, ~66% of current annual revenue, annuity-style)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Unlike most SME leads, the balance sheet here is clean: debt-free, ~27% ROE, ~73% promoter holding, ~9x earnings. The GETCO 3-year O&amp;M award (Rs 63 Cr) is large relative to a ~Rs 31.6 Cr revenue base and is recurring rather than one-off, which improves earnings visibility for a company this small. The business is grid-adjacent - substation O&amp;M and testing demand rises with India's (and Gujarat's) transmission capex cycle. The constraints are structural to the size: a ~Rs 47 Cr market cap means thin liquidity and limited disclosure; revenue is heavily concentrated on a single state utility (GETCO) in a single state; and substation O&amp;M is a low-value-add, labour-and-tender-driven activity with periodic recompete risk. No independent verification of FY26 numbers or the contract beyond the Sovrenn lead and screener data.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Grid / transmission (substation O&amp;M and testing services)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Services layer - operates, maintains, tests and commissions transmission substations for a state grid utility; not an equipment maker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Skilled substation-O&amp;M manpower and utility empanelment; low capital intensity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Techno Electric &amp; Engineering, Skipper, Transrail Lighting, KEC International (T&amp;D EPC, larger)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Grid/transmission is a priority-1 theme (record global and Indian grid capex). Chamunda's exposure is genuine but indirect and low-margin: more substations built means more O&amp;M and testing tenders, but the value in the chain accrues to transformer/switchgear makers and T&amp;D EPC contractors, not to a small O&amp;M services vendor. The GETCO annuity is the concrete evidence of demand pull-through.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unclear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Quarter-by-quarter history not reliably available for this SME; the step-change to watch is GETCO contract revenue phasing in from FY27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~9x trailing with ~27% ROE and a contract worth ~66% of current revenue is undemanding if the GETCO award converts to billed revenue on schedule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SME micro-cap, no ValuePickr thread.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exists for Chamunda Electrical (forum search returned nothing). Step 3.05: no match; topic_slug null. Research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- Sovrenn-news seed only.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Sovrenn note (2026-04-02): GETCO Letter of Award Rs 63 Cr for O&amp;M of 88 units of 66 KV substations, 3-year contract. Screener shows a near-debt-free balance sheet, ~27% 3yr ROE, ~73% promoter holding.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balance sheet for an SME: debt-free, ~27% ROE, ~73% promoter holding, ~9x earnings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GETCO 3-year O&amp;M award (Rs 63 Cr) is large vs a ~Rs 31.6 Cr revenue base and is recurring - a concrete, size-transforming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Grid-adjacent (priority-1 transmission theme): substation O&amp;M/testing demand tracks India's transmission capex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 absolute base (~Rs 47 Cr market cap) - a 10x in market cap is a modest absolute number if revenue and profit scale with the order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Extreme micro-cap: thin liquidity, limited disclosure, no institutional or community coverage; Sovrenn datapoint unverified against filings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Single-customer / single-state concentration (GETCO, Gujarat) - contract non-renewal or tender loss would be material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Substation O&amp;M is low-value-add, labour- and tender-driven, with periodic recompete pressure on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solar (1.5 MW) and testing lines add little; growth beyond GETCO is unproven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SME (~Rs 47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Cleanest of this run's SME leads - debt-free, high-ROE micro-cap with a concrete annuity catalyst - scored 10x-in-2-3-years at Low-Medium, unconfirmed pending GETCO revenue conversion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Sovrenn-news seed (tier 4.65). The Sovrenn datapoint (GETCO Rs 63 Cr, 3-year, 88 substations) is the core of the thesis; screener corroborates a debt-free, ~27%-ROE, ~9x-earnings profile - a genuinely better-quality setup than the other SME leads this run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trailing-average-vs-live-inflection rule: decent trailing returns + a strong specific catalyst (contract ~66% of current revenue, annuity) + a tiny base -&gt; 10x-in-2-3-years at Low-Medium with an 'unconfirmed' caveat (the award must actually phase into billed revenue and hold on renewal)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Live-theme match: Grid / transmission, priority-1 - but exposure is the low-margin services layer, not equipment. Conviction Low-Medium (held down by micro-cap liquidity, GETCO/Gujarat concentration and zero community coverage). revisit_after_30d false at this conviction; re-check once FY27 quarterly revenue shows the GETCO ramp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2026-09-02T12:54:48.388Z</dcterms:created>
  <dcterms:modified xsi:type="dcterms:W3CDTF">2026-09-02T12:54:48.393Z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