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Crizac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Asset-light, cash-rich B2B international-student-recruitment platform with elite return ratios -- but management has guided FY27 flat on visa/geopolitical headwinds, so the growth engine has stalled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Crizac operates a B2B education platform connecting ~10,000+ recruitment agents to 170+ overseas universities (heavily UK, plus Canada, Ireland, Australia, New Zealand). It earns a percentage of the first-year tuition fee for each enrolled student. ~70% of revenue passes through to agents as commission; adjusted EBITDA margin ~22-25%. Headquartered in Kolkata with co-operations in London.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2,998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~75.6% / ~57% (3-yr ROE ~43%) -- exceptional, asset-light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FY26 revenue ~Rs 1,042 Cr, +22.7% YoY; 5-yr revenue CAGR ~57%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FY27 guidance</w:t>
            </w:r>
          </w:p>
        </w:tc>
        <w:tc>
          <w:tcPr>
            <w:tcW w:type="dxa" w:w="5800"/>
          </w:tcPr>
          <w:p>
            <w:r>
              <w:t xml:space="preserve">Flattish -- management cites Middle-East crisis and US/UK anti-immigration policy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Balance sheet</w:t>
            </w:r>
          </w:p>
        </w:tc>
        <w:tc>
          <w:tcPr>
            <w:tcW w:type="dxa" w:w="5800"/>
          </w:tcPr>
          <w:p>
            <w:r>
              <w:t xml:space="preserve">Debt-free; net cash ~Rs 467 Cr; dividend yield ~4.7%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173 - Rs 388 (near the low)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financial model is outstanding on paper -- negligible capital employed, ~57% ROE, debt-free, throwing off cash and paying a ~4.7% yield. But the entire thesis is a growth thesis (there is no margin-expansion lever -- agent commissions are a fixed ~70% of revenue), and growth has just been guided to zero for FY27 because international-student flows into Crizac's core UK/Canada/Australia markets are being throttled by visa tightening and geopolitics.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-- stock is near its 52-week low, roughly 55% below its post-IPO high.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entire thread (all 8 posts, 6 substantive), Feb-Aug 2026. It was started by himanshu.dugar (trusted, elevated-tier -- a SEBI-registered RA) with his IPO-era thesis. Later posts are thin: sanketkulkarni1987 flags unspecified governance red flags he wants to dig into; Prateek_Jha (Aug 2026) relays management guidance that FY27 will be flattish on the Middle-East crisis and US anti-immigrant policy, and notes there is no margin-expansion lever so sales growth is the only driver. No disagreement, but also no fresh bull conviction.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himanshu.dugar (trusted, elevated-tier) authored the thesis thread, but it explicitly reproduces his IPO-time note and is captioned as not fresh advice -- not a current high-conviction call.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2026-02-12 — himanshu.dugar (trusted, elevated-tier)</w:t>
      </w:r>
      <w:r>
        <w:rPr>
          <w:i/>
          <w:iCs/>
          <w:color w:val="666666"/>
          <w:sz w:val="18"/>
          <w:szCs w:val="18"/>
        </w:rPr>
        <w:t xml:space="preserve"> (Crizac thread (OP))</w:t>
      </w:r>
      <w:r>
        <w:rPr>
          <w:sz w:val="20"/>
          <w:szCs w:val="20"/>
        </w:rPr>
        <w:br/>
        <w:t xml:space="preserve">: Started the thread with his IPO-era thesis on the niche B2B agent-driven model, ~22-25% EBITDA margin, impeccable financials. Explicitly flagged as historical, not fresh advice.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None specific surfaced this pass. One forum member raised unspecified governance concerns (agent-driven receivables, related entities) worth deeper checking; nothing substantiated.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Elite, asset-light economics: ~57% ROE, ~76% ROCE, debt-free, ~Rs 467 Cr net cash, ~4.7% dividend yield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Dominant B2B position in a structurally growing long-term market (Indian/global outbound students), 170+ university relationships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Trading near a 52-week low at a far lower multiple than at IPO -- if the visa cycle turns, growth and the multiple could re-rate together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Management has guided FY27 to flat growth -- the core UK/Canada/Australia student-visa regimes are all tightening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margin lever: ~70% of revenue is a contractual agent pass-through, so the stock is entirely a volume/growth story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Concentration on UK universities and on an agent network; unspecified governance questions raised on the thread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high-ROE compounder with zero growth de-rates -- the quality ratios do not protect the price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2,998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Superb economics, stalled engine -- a flat-guided growth story does not clear the 10x/100x bar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thesis_fit neither: at ~Rs 3,000 Cr with management itself guiding FY27 flat, there is no supportable path to 10x in 2-3 years or ~47%+ sustained CAGR for 100x in 10 years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recent-inflection rule cuts against this name, not for it -- the most recent data point is explicit deceleration to zero growth plus a structural (visa-policy) rather than transient cause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First-time pass; no red-flag tier (governance concerns raised but unsubstantiated); no active trusted conviction call -- floor not applicable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Low. Genuinely worth a revisit only if two things appear together: a visible turn in UK/Canada student-visa policy and a return to &gt;20% revenue growth. Re-check trigger: FY27 H1 results showing growth resuming.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2026-08-29T14:32:57.131Z</dcterms:created>
  <dcterms:modified xsi:type="dcterms:W3CDTF">2026-08-29T14:32:57.133Z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