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D-Link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Cash-rich, high-ROCE networking-gear distributor with a ~5% dividend yield -- but a commoditised, no-moat product line, slow growth, rising competition and a selling promoter cap the upside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D-Link (India) distributes and (increasingly, via third-party/contract manufacturers under its own brand) sells networking hardware -- routers, switches, structured cabling, and a smaller surveillance-camera range -- primarily to the Home/SMB and enterprise segments, plus government and infrastructure projects (metros, PSUs). It holds an exclusive licence from parent D-Link Corp to use the brand on locally made products and pays the parent a royalty.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1,600-1,750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~52% / ~22% (asset-light distribution; average 5-yr ROCE ~40%)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results</w:t>
            </w:r>
          </w:p>
        </w:tc>
        <w:tc>
          <w:tcPr>
            <w:tcW w:type="dxa" w:w="5800"/>
          </w:tcPr>
          <w:p>
            <w:r>
              <w:t xml:space="preserve">Revenue ~Rs 1,559 Cr; PAT ~Rs 103 Cr; dividend Rs 27.5/share (~5% yield)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Growth</w:t>
            </w:r>
          </w:p>
        </w:tc>
        <w:tc>
          <w:tcPr>
            <w:tcW w:type="dxa" w:w="5800"/>
          </w:tcPr>
          <w:p>
            <w:r>
              <w:t xml:space="preserve">Revenue CAGR ~13-17%; OPM settled ~9-10% after a one-time step-up to ~13% in FY23 then fade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 cash, negligible debt, high dividend payout (~40%+)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368 - Rs 549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returns look great because it is a distribution model with almost no capital employed, and the balance sheet is net cash with a ~5% dividend yield. But the FY23 margin excitement (localisation/Make-in-India lifting OPM from ~7% to ~13%) did not compound -- FY24 onward margins settled back to ~9-10% and growth stayed mid-teens. The products (structured cabling, switches, routers) are commoditised with no moat beyond a legacy distribution network; TP-Link and Netgear are expanding in India and telcos (Jio, Airtel) bundle their own CPE. Management communication is poor and a director has been steadily selling down.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rangebound stock; a larger-than-dividend drop after the FY26 record date noted by members.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posts (#33-84), Oct 2022 to Aug 2026. Early thread (2022-early 2023) was excited about a structural margin up-shift from local sourcing and an Ashish Kacholia entry. That optimism faded: basumallick flagged as early as May 2023 that the gains were likely COVID-China-closure driven and the products low-margin/commodity; by 2025 the consensus (S_Sankar, who has worked on the company; sbkv) is 'no moat, brand only', realistic ~13-14% CAGR including dividends, rising competition from TP-Link/Netgear, poor disclosures, and a director (Mukesh Lulla) cutting his stake from ~7% to ~5.7% then resigning. Multiple members explicitly corrected the idea that D-Link is a data-centre play -- the CEO said at the 2024 AGM they lack the product range and are Home/SMB focused.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roster high-conviction call. The most informed non-roster contributor (S_Sankar) frames it as a ~13-14% total-return stock, not a multibagger.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Director Mukesh Lulla reduced his holding from ~7%+ to ~5.7% and subsequently resigned (per Q2 FY26 disclosure). Royalty payments to the parent; parent D-Link Corp reportedly loss-making for several years. Historically elevated trade receivables. No regulatory action noted.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Asset-light, net-cash, high-ROCE distribution model with a consistent ~5% dividend yield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Localisation/own-brand contract manufacturing has structurally de-risked forex and supply chain and lifted margins off the ~7% historical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Entrenched enterprise/government cabling and switch relationships (metros, PSUs) with long switching cycles; enterprise mix up from ~10-15% to ~30% of revenue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Commoditised, no-moat products; brand licence + royalty to a loss-making parent; realistic growth only mid-teens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Competitive intensity rising -- TP-Link and Netgear expanding India manufacturing, telcos bundling their own routers -- with margin-war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Chronically poor investor communication and disclosure; a director has been selling down and has resigned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data-centre beneficiary despite the narrative -- management has said it lacks the product range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1,600-1,750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decent dividend-yield value stock, not a 10x/100x thesis -- commodity products, no moat, mid-teens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neither: high ROCE is a function of the capital-light distribution model, but ~13-15% growth on commoditised, no-moat products gives no path to 10x in 2-3 years or 100x in 10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one candidate catalyst (localisation-led margin expansion) already played out in FY23 and then faded rather than compounding; the data-centre angle is explicitly denied by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deep read; no red-flag tier (net cash, profitable), though weak disclosure and a resigning/selling director are governance negatives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Low. No 30-day revisit. Would only re-enter on evidence of a genuine, sustained product-mix shift (e.g. materially scaled surveillance or enterprise/data-centre hardware) lifting the growth rate durably.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2026-08-29T14:32:57.585Z</dcterms:created>
  <dcterms:modified xsi:type="dcterms:W3CDTF">2026-08-29T14:32:57.586Z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