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DCM Nouvelle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Tiny, BCI/GOTS-certified cotton yarn exporter with weak trailing returns and no ValuePickr thread to validate the recent growth print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 BCI, GOTS and OEKO-TEX certified manufacturer and exporter of 100% cotton carded and combed yarns (count range Ne 14s-40s). No dedicated ValuePickr thread was found -- a forum search returned only the unrelated Nitin Spinners thread and an unrelated portfolio-discussion thread.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293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52-week range</w:t>
            </w:r>
          </w:p>
        </w:tc>
        <w:tc>
          <w:tcPr>
            <w:tcW w:type="dxa" w:w="5800"/>
          </w:tcPr>
          <w:p>
            <w:r>
              <w:t xml:space="preserve">Rs 157 / Rs 95.6 - 182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4.27-5.9% / 1.15-1.9% (sources vary, both 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+27.17% YoY (recent quarter)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~0.2 (low)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Weak trailing returns (ROE near 1-2%, ROCE ~4-6%) at a very small scale (Rs293 Cr market cap), with a recent quarter showing +27% YoY revenue growth -- a real but modest inflection relative to peers in the same cotton-yarn-spread basket (e.g. GHCL Textiles' +52% YoY). Low leverage is the one clean positive.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checked -- web-only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community read possible -- a forum search for 'DCM Nouvelle' returned no confident match. Web-only pass per Step 3.05.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available (no thread).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beyond the web-search fundamentals above.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BCI/GOTS/OEKO-TEX certifications give some access to premium/sustainability-conscious export buyers, a mild differentiator versus plain commodity spinners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leverage (D/E ~0.2) and a recent +27% YoY revenue quarter riding the cotton-yarn-spread upcycle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ROE near 1-2% is very weak, even by the standards of this commoditised industry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small scale (Rs293 Cr market cap) with no ValuePickr community coverage at all to validate management quality or the durability of the recent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+27% YoY growth is real but modest next to peers in the same basket claiming stronger prints (e.g. GHCL Textiles +52% YoY) -- not 'un-ignorable' growth by comparison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Commoditised yarn industry with no discernible moat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Micro/Small-cap (~Rs 293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yes · moat: no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Priority-2 steady textile theme; large TAM; moat 'no' (commoditised, though certifications offer a mild premium-buyer edge); valuation 'no' given very weak trailing ROE (~1-2%) even after the recent quarter.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Weak returns, a modest (not un-ignorable) recent quarter, and zero community validation -- filtered 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Applying the trailing-average-vs-live-inflection rule conservatively: the recent-quarter growth here (+27% YoY) is real but not as strong as peers in the same basket, and with weak trailing ROE (~1-2%, weaker than GHCL Textiles') and no forum thread to corroborate quality or durability, the un-ignorable-growth exception is NOT invoked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 score of 1.5 (tailwind weak, tam yes, moat no, valuation no) is a hard 'neither' per the decision table regardless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match: 'Textile exports - bumper FY27 on weak base + FTAs' (priority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(untrusted X triage, @StocksAndStoics) source; topic_slug left null -- no confident ValuePickr thread match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2026-09-05T11:39:48.917Z</dcterms:created>
  <dcterms:modified xsi:type="dcterms:W3CDTF">2026-09-05T11:39:48.917Z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