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Darjeeling Industries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EXCLUDED - a live SEBI ex-parte order (June 2026) bars the MD and nine others for alleged circular funding and stock manipulation, and SEBI questions whether the company even exists operationally</w:t>
      </w:r>
    </w:p>
    <w:p>
      <w:pPr>
        <w:shd w:fill="FFF0F0" w:val="clear"/>
        <w:spacing w:after="200"/>
      </w:pPr>
      <w:r>
        <w:rPr>
          <w:b/>
          <w:bCs/>
          <w:color w:val="6B2020"/>
          <w:sz w:val="22"/>
          <w:szCs w:val="22"/>
        </w:rPr>
        <w:t xml:space="preserve">RED FLAG TIER: EXCLUDE — </w:t>
      </w:r>
      <w:r>
        <w:rPr>
          <w:sz w:val="20"/>
          <w:szCs w:val="20"/>
        </w:rPr>
        <w:t xml:space="preserve">Active SEBI ex-parte interim order dated 30 June 2026 barring the MD and 9 others for alleged circular funding, preferential-allotment misuse and stock-price manipulation; SEBI could not confirm the company's operational existence.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Darjeeling Industries is a BSE-listed entity nominally in agricultural trading. Following the appointment of a new MD in October 2024 it reported a sharp jump in revenue and profit.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Regulatory status</w:t>
            </w:r>
          </w:p>
        </w:tc>
        <w:tc>
          <w:tcPr>
            <w:tcW w:type="dxa" w:w="5800"/>
          </w:tcPr>
          <w:p>
            <w:r>
              <w:t xml:space="preserve">Active SEBI ex-parte interim order dated 30 June 2026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Action</w:t>
            </w:r>
          </w:p>
        </w:tc>
        <w:tc>
          <w:tcPr>
            <w:tcW w:type="dxa" w:w="5800"/>
          </w:tcPr>
          <w:p>
            <w:r>
              <w:t xml:space="preserve">MD (Ashok Dilipkumar Jain) and 9 others barred from trading in the scrip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Allegations</w:t>
            </w:r>
          </w:p>
        </w:tc>
        <w:tc>
          <w:tcPr>
            <w:tcW w:type="dxa" w:w="5800"/>
          </w:tcPr>
          <w:p>
            <w:r>
              <w:t xml:space="preserve">circular funding, misuse of preferential-issue proceeds, suspected stock-price manipulation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Operational status</w:t>
            </w:r>
          </w:p>
        </w:tc>
        <w:tc>
          <w:tcPr>
            <w:tcW w:type="dxa" w:w="5800"/>
          </w:tcPr>
          <w:p>
            <w:r>
              <w:t xml:space="preserve">SEBI could not find any operational presence at either declared registered-office address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Fundamentals are not the relevant question. A SEBI order of 30 June 2026 bars the MD and nine associated entities from the securities market over an alleged scheme involving circular funding, diversion of preferential-issue money to unrelated parties (including ~Rs 3.09 Cr to a baby-care LLP), and stock-price manipulation - and the regulator explicitly questioned the very existence of the listed company, having found no operations at its registered addresses. Any historical price appreciation is itself potentially a product of the alleged manipulation.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applicable - excluded on regulatory grounds.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deep ValuePickr thread read - the stock is filtered out at the preliminary stage on a confirmed active SEBI enforcement action, per the project's EXCLUDE rule.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Not applicable.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Active SEBI ex-parte interim order (30 June 2026): MD and 9 others barred; allegations of circular funding, preferential-allotment misuse and manipulation; company allegedly not traceable at its registered offices.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None applicable - the name is excluded on regulatory grounds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Live SEBI enforcement action alleging fraud, circular funding and stock manipulation, with named individuals barred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Regulator cannot confirm the company has real operations at its registered addresses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Reported post-Oct-2024 revenue/profit surge is exactly what SEBI is investigating as potentially fabricated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Any past 'multi-bagger' price move may be manipulation, not value creation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Not applicable - excluded on governance / fraud grounds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EXCLUDED - confirmed active SEBI fraud / manipulation enforcement action; do not consider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Legacy-108-screen seed (old bucket AVOID, 'confirmed active SEBI ex-parte interim order', frozen 2026-08-15) - re-verified: the 30 June 2026 order is real and still the operative regulatory status; the old EXCLUDE call is confirmed, not changed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This is a live regulatory enforcement action, not a soft risk factor - it overrides any fundamental or technical consideration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Thesis fit 'neither'; red-flag tier EXCLUDE; no deep thread read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2026-08-27T17:58:07.352Z</dcterms:created>
  <dcterms:modified xsi:type="dcterms:W3CDTF">2026-08-27T17:58:07.353Z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