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Deepak Fertilisers and Petrochemicals Corporation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Commodity-to-specialty transition (mining chemicals/explosives, LNG-backed ammonia) with real debt and execution-delay baggage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Deepak Fertilisers operates fertilizers, bulk chemicals (ammonia, nitric acid, IPA), mining/crop nutrition chemicals, and a growing specialty/explosives (Blasting Solutions, Croptek) business. Signed a 15-year LNG supply deal with Equinor (0.65 MTPA) to reduce ammonia feedstock costs and reduce Middle East dependency.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18,460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(10yr)</w:t>
            </w:r>
          </w:p>
        </w:tc>
        <w:tc>
          <w:tcPr>
            <w:tcW w:type="dxa" w:w="5800"/>
          </w:tcPr>
          <w:p>
            <w:r>
              <w:t xml:space="preserve">10.7%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(3yr)</w:t>
            </w:r>
          </w:p>
        </w:tc>
        <w:tc>
          <w:tcPr>
            <w:tcW w:type="dxa" w:w="5800"/>
          </w:tcPr>
          <w:p>
            <w:r>
              <w:t xml:space="preserve">11.4% (called 'low' by one source)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22% YoY (Q1FY27)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Debt</w:t>
            </w:r>
          </w:p>
        </w:tc>
        <w:tc>
          <w:tcPr>
            <w:tcW w:type="dxa" w:w="5800"/>
          </w:tcPr>
          <w:p>
            <w:r>
              <w:t xml:space="preserve">1.4x, improving; peak debt guided ~Rs 4,500 Cr; ~Rs 400 Cr annual interest (~half of profit)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866.40 - 1,681.00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Large-cap with only modest ROCE/ROE (~11%) by this screen's usual bar, but with a specific, dated catalyst: a 15-year Equinor LNG supply deal aimed at lowering ammonia feedstock costs, and a genuine commodity-to-specialty revenue mix shift (specialty products now 28% of segment revenue vs 22% a year prior). Debt remains a real constraint — interest expense alone is roughly half of annual profit.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399 posts (single batch, no escalation needed given the depth of the batch — May 2025 to Aug 2026). Sentiment: a detailed, high-conviction bull thesis (commodity-to-specialty re-rating) built by one standout poster, tempered by repeated capex delays and a weak Q4 FY26 print, with cautious optimism returning in the Q1 FY27 update.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posted, but r8b8 stood out sharply (125 loves across 10 posts — likely to cross the auto-promotion threshold on the next run) with a detailed sum-of-parts thesis comparing Deepak's emerging Blasting Solutions/explosives segment to Solar Industries (valued at 56x EBITDA, though largely on its defence exposure). r8b8's reverse-engineered model projects ~13% revenue CAGR and ~21% EBITDA CAGR FY26-29. Bear-leaning posts: Nirav_Mamniya (May 2026) flagged 'poor Q4 results, further delayed commissioning... debt levels have risen' despite rising ammonia prices; VALUE2017 repeatedly cautioned that capex delays push benefit realization out to FY28; Mehul1 (Jan 2026) directly questioned the ~Rs 400 Cr annual interest burden against profit. Q1 FY27 (Mehul1, Aug 2026) reported margin improvement 'as per plan,' partly credited to the Equinor LNG deal.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joinjp2003</w:t>
      </w:r>
      <w:r>
        <w:rPr>
          <w:i/>
          <w:iCs/>
          <w:color w:val="666666"/>
          <w:sz w:val="18"/>
          <w:szCs w:val="18"/>
        </w:rPr>
        <w:t xml:space="preserve"> (My portfolio updates and investment journey)</w:t>
      </w:r>
      <w:r>
        <w:rPr>
          <w:sz w:val="20"/>
          <w:szCs w:val="20"/>
        </w:rPr>
        <w:br/>
        <w:t xml:space="preserve">: post #243 portfolio table: 1% weight, -7.17% overall.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Company acquired 100% of an explosives-licensing shell (Chardham Chemicals) for ~Rs 121 Cr in Dec 2025 despite no reported turnover — flagged by the community as a licenses/expertise acquisition, not a red flag but worth noting as an unusual capital allocation.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15-year Equinor LNG supply deal is a concrete, dated catalyst reducing feedstock cost and Middle East geopolitical exposure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commodity-to-specialty revenue mix shift underway (specialty products 28% of segment revenue, up from 22%), with a detailed community model showing a path to Solar-Industries-style re-rating if the Blasting Solutions segment scales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Strategically located Gopalpur TAN plant (deep-sea port, ~40% faster transit to Asia-Pacific than Black Sea routes) post-Adani Ports acquisition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shows margin improvement management attributes to the LNG deal and other initiatives finally landing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(10.7%) and ROE (11.4%) are both below this screen's usual quality bar, and leverage is doing real work — ~Rs 400 Cr annual interest is roughly half of annual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Repeated, multi-quarter capex commissioning delays pushed full benefit realization from FY27 to FY28 per community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results were weak (margin pressure, planned-maintenance shutdown costs) despite rising ammonia prices, undercutting the 'ammonia tailwind' bull case short-term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conduct concern: promoter reportedly gave a monologue on a concall and left without addressing other participants' questions, drawing public pushback from an ASK Investment Managers representative on the call — a governance/IR-quality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18,460 Cr market cap, the size itself requires an unusually large and durable specialty transition to clear this screen's asymmetric-upside bar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18,460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specialty-transition catalyst, but size, debt, and inconsistent execution keep this below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Equinor LNG deal and specialty/explosives mix shift are genuine, specific catalysts — exactly what a large-cap needs per this screen's bar — but debt servicing (~half of profit to interest) and repeated capex delays are real, current drags, not resolved concerns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both sit below a strong quality threshold today; the bull case depends on execution that has been inconsistent (Q4 FY26 miss) even as Q1 FY27 shows early signs of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this market cap, a 10x/100x outcome needs the specialty transition to go very right for a long time — worth tracking (r8b8's model is a good reference) but not a high-conviction call yet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2026-08-22T15:53:47.870Z</dcterms:created>
  <dcterms:modified xsi:type="dcterms:W3CDTF">2026-08-22T15:53:47.871Z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