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Devson Catalyst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Exceptional pre-IPO returns (ROCE ~48%) in an industrial-catalysts niche, but listed only July 2026 with zero public quarters and SME liquidity — 10x frame, Low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Devson Catalyst (BSE SME, 544823) is an ISO-certified manufacturer of catalysts, adsorbents and ceramic balls used in oil &amp; gas, petrochemical, steel, fertiliser and other industrial process industries, with ~63% domestic / ~37% export revenue. IPO opened 9 July 2026, listed 16 July 2026. No ValuePickr thread yet;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275-373 Cr (BSE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~43-46% / ~47.6% (pre-IPO)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~0.07 (almost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mix</w:t>
            </w:r>
          </w:p>
        </w:tc>
        <w:tc>
          <w:tcPr>
            <w:tcW w:type="dxa" w:w="5800"/>
          </w:tcPr>
          <w:p>
            <w:r>
              <w:t xml:space="preserve">~62.7% domestic / ~37.3% export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Public history</w:t>
            </w:r>
          </w:p>
        </w:tc>
        <w:tc>
          <w:tcPr>
            <w:tcW w:type="dxa" w:w="5800"/>
          </w:tcPr>
          <w:p>
            <w:r>
              <w:t xml:space="preserve">Listed 16 July 2026 — no public quarterly results yet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Pre-IPO fundamentals are outstanding: ROCE ~48%, ROE in the mid-40s, almost debt-free, in a real industrial-process-catalysts niche with export traction. But the company has been public for only weeks, there is no public quarterly track record, the offering flagged customer-concentration risk, and BSE-SME liquidity limits position sizing.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insufficient trading history since the 16 July 2026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(one rate-limited forum search returned no match). Web-only write-up based on IPO disclosures and screener data. Old 108-stock project (2026-08-15, frozen) rated it Tier B: 'fundamentally sound but too new and too illiquid to size a real position with confidence yet.'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BSE-SME IPO July 2026 (opened 9 July, listed 16 July). Customer-concentration risk disclosed in the offer. Not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pre-IPO capital efficiency (ROCE ~48%, ROE ~45%),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industrial-process niche (catalysts, adsorbents, ceramic balls) with a ~37% export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275-373 Cr) — real headroom if the returns profile persists post-listing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only mid-July 2026 — zero public quarterly results to confirm the pre-IPO numbers 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liquidity is a hard constraint on building or exiting a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Customer-concentration risk explicitly flagged in the offer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scrutiny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SME-platform (~Rs 275-373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Outstanding pre-IPO returns in a real niche keep it in the 10x frame, but no public track record and SME liquidity hold conviction to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~48% and a genuine industrial-catalysts niche at a ~Rs 275-373 Cr base support a 10x-in-2-3-years framing on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Low: listed only July 2026 with no public quarters, disclosed customer concentration, and BSE-SME liquidity — the reversal/continuation is genuinely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B; re-derived under the open-screen thesis it fits the 10x frame but is 'too new to size,' unchanged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2026-08-28T15:39:42.293Z</dcterms:created>
  <dcterms:modified xsi:type="dcterms:W3CDTF">2026-08-28T15:39:42.294Z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