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Dr Agarwal's Eye Hospital Ltd (DAEHL)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regional eye-care operator, but now effectively a merger-arbitrage proxy on parent Dr Agarwal's Health Care at a fixed swap ratio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DAEHL is the BSE-listed (526783) regional eye-hospital operator of the Dr Agarwal's group, concentrated largely in Tamil Nadu / South India. Its promoter is the pan-India parent Dr Agarwal's Health Care Ltd (DAHL), which IPO'd in Jan-Feb 2025. In Aug 2025 the group announced a merger of DAEHL into DAHL at a swap ratio of 23 DAHL shares for every 2 DAEHL shares. As of mid-2026 the merger is still pending SEBI and then NCLT approval, with a fresh internal team on it and completion guided (loosely) to Q3/Q4 FY27 and widely expected to slip.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~42%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~17.7% revenue CAGR; same-store sales growth ~13% (roughly half value, half volume) per latest concall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Modest at the listed-entity level; group (DAHL) balance sheet carries more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4,600 - 6,060 (was at a 52-week low around 20 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Relative valuation</w:t>
            </w:r>
          </w:p>
        </w:tc>
        <w:tc>
          <w:tcPr>
            <w:tcW w:type="dxa" w:w="5800"/>
          </w:tcPr>
          <w:p>
            <w:r>
              <w:t xml:space="preserve">~19x EV/EBITDA vs parent DAHL ~28x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its own numbers DAEHL is a genuinely high-quality asset: ROCE ~42%, ROE ~36%, mid-to-high-teens revenue growth and ~13% same-store sales growth, in a structurally growing single-speciality (eye care / cataract / refractive) segment with an ageing-population and premiumisation tailwind. It is also cheaper than its own parent on EV/EBITDA despite better return ratios and growth — the classic 'listed regional subsidiary' discount. The catch is that the fixed 2:23 merger swap ratio caps DAEHL holders' outcome to whatever the parent does, minus the ~8-11% arbitrage/dilution the community has debated back and forth. Promoter has deliberately grown the regional franchise slower than the pan-India parent, which is itself a minority-shareholder-friendliness question.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Single-speciality hospitals &amp; diagnostics (ROCE / pricing turn)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(Tamil Nadu / South) eye-care hospital chain within the Dr Agarwal's group; being absorbed into the pan-India parent Dr Agarwal's Health Care Ltd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Surgeon density / trained ophthalmologist capacity and brand trust in the catchment; premium (refractive, cataract IOL mix) pricing 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Dr Agarwal's Health Care Ltd (parent), ASG Eye Hospitals (unlisted), Centre for Sight (unlisted), Kovai Medical / KMC Speciality (multi-speciality South)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Eye-care single-speciality has attractive unit economics (high ROCE, short payback per centre, day-care surgical model). DAEHL captures the segment cleanly but its equity value is now mechanically pinned to the parent via the swap ratio; the standalone quality is the reason the merger terms are contested, not a reason to own DAEHL over DAHL.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Community noted the stock hit a 52-week low around 20 Aug 2026 despite no fundamental deterioration, likely merger-timeline fatigue plus rotation into the parent's IPO stock.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thread (44 posts, Sep 2023 - Aug 2026, single batch, no escalation). Early posts are basic business appreciation; from early 2025 the thread is dominated by the parent's IPO (shareholder-quota buying spiked DAEHL's shareholder count from ~4,500 to ~15,000 in one quarter) and then, from Aug 2025, entirely by the merger swap ratio. Sustained disagreement between Sidharth_Chandraseka (2:23 is a poor deal for DAEHL holders given superior fundamentals; the regional-only growth cap is 'lack of intention, not opportunity') and varvp14 / Omkar_Ranjan (fair, you effectively get the larger pan-India parent ~9-20% cheaper, plus operating synergies). Most recent substantive post (Manan_Nandu, May 2026): spoke to IR, merger team reshuffled, SEBI approval still pending, NCLT after that, timeline likely to slip past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shyamutty posted once (post #11, 2024, 0 love) — not a conviction call. vikasbargale (trusted-roster, post #31, 3 love) gave only a factual explanation of the regional-vs-pan-India valuation gap. No trusted-roster user made a directional high-conviction call in this thread. Highest-loved posts are Surender's opening business write-up (14) and Ashar_Mann's early note (15), both pre-merger.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Merger scheme (2 DAEHL : 23 DAHL) filed with exchanges Aug 2025; awaiting SEBI then NCLT sanction as of the latest thread posts (May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high-quality economics: ROCE ~42%, ROE ~36%, ~17% revenue CAGR, ~13% same-store growth in a structurally growing single-speciality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~19x EV/EBITDA vs parent's ~28x with better return ratios — a real quality-at-a-discount gap that the merger is meant to close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into the pan-India parent gives exposure to a much larger growth runway plus operating synergies; effectively a cheaper entry into DAHL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Eye-care demand tailwind (ageing population, rising cataract volumes, premium IOL / refractive mix) is durable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2:23 swap ratio caps the outcome to the parent's trajectory; the standalone quality gap does not accrue to DAEHL 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has been pending for a year, team was reshuffled, SEBI and NCLT approvals still outstanding — dead-money risk until it closes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deliberately grew the regional entity slower than the parent, a minority-friendliness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2,400 Cr and mid-teens growth this is not a 10x-in-2-3-years or 100x-in-10-years candidate on any realistic path; it is a compounder/arbitrage, not a multibagger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Post-merger the position simply becomes DAHL, which trades at a full ~28x EV/EBITDA large-cap multiple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little business, but the fixed merger swap turns it into an arbitrage on the parent — no multibagger math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fundamentals (42% ROCE, 36% ROE, ~13-17% growth) are strong and the segment tailwind is real, but a ~Rs 2,400 Cr mid-teens compounder being merged into a ~Rs 14,000 Cr parent at a fixed ratio cannot deliver 10x in 2-3 years or 100x in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Upside is bounded by the parent's growth minus the 8-11% arbitrage/dilution the community itself keeps arriving at; the interesting quality gap does not transfer to DAEHL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trusted-roster high-conviction call in the thread; conviction Medium on a good-but-capped situation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 (P2): Single-speciality hospitals &amp; diagnostics — surfaced via recency discovery on the DAEHL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 is the merger closing (SEBI/NCLT); until then it is a merger-timeline holding, not a fresh idea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2026-08-31T03:05:40.474Z</dcterms:created>
  <dcterms:modified xsi:type="dcterms:W3CDTF">2026-08-31T03:05:40.479Z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