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Emmvee Photovoltaic Power Ltd</w:t>
      </w:r>
    </w:p>
    <w:p>
      <w:pPr>
        <w:pBdr>
          <w:bottom w:val="single" w:color="CCCCCC" w:sz="6" w:space="8"/>
        </w:pBdr>
        <w:spacing w:after="200"/>
      </w:pPr>
      <w:r>
        <w:rPr>
          <w:i/>
          <w:iCs/>
          <w:color w:val="666666"/>
          <w:sz w:val="22"/>
          <w:szCs w:val="22"/>
        </w:rPr>
        <w:t xml:space="preserve">Integrated TOPCon solar cell + module maker whose PAT went from Rs 9 Cr (FY23) to Rs 1,082 Cr (FY26) on a policy shift (ALMM List-II) — genuine, un-ignorable growth, but the earnings base is a domestic-content super-cycle peak into an industry-wide capacity build</w:t>
      </w:r>
    </w:p>
    <w:p>
      <w:pPr>
        <w:pStyle w:val="Heading1"/>
        <w:spacing w:after="120" w:before="280"/>
      </w:pPr>
      <w:r>
        <w:t xml:space="preserve">Business Overview</w:t>
      </w:r>
    </w:p>
    <w:p>
      <w:pPr>
        <w:spacing w:after="120"/>
      </w:pPr>
      <w:r>
        <w:t xml:space="preserve">Emmvee (Bengaluru, listed Nov 2025) is an integrated solar PV manufacturer — modules plus the TOPCon cells that go inside them — across five factories clustered around Bengaluru. It began ~two decades ago in solar water heaters before moving to full-scale module and then cell manufacturing. Current capacity ~10.3 GW modules / 2.94 GW cells; a 6 GW integrated TOPCon facility is being commissioned (module line Dec 2026, cell line Mar 2027), taking capacity to ~16.3 GW modules / ~8.9 GW cells by early FY28. It is described as India's 2nd pure-play integrated cell-and-module manufacturer by capacity.</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22,000-23,400 Cr (mid-cap)</w:t>
            </w:r>
          </w:p>
        </w:tc>
      </w:tr>
      <w:tr>
        <w:tc>
          <w:tcPr>
            <w:tcW w:type="dxa" w:w="3200"/>
            <w:shd w:fill="F2F2F2" w:val="clear"/>
          </w:tcPr>
          <w:p>
            <w:r>
              <w:rPr>
                <w:b/>
                <w:bCs/>
              </w:rPr>
              <w:t xml:space="preserve">ROE / ROCE</w:t>
            </w:r>
          </w:p>
        </w:tc>
        <w:tc>
          <w:tcPr>
            <w:tcW w:type="dxa" w:w="5800"/>
          </w:tcPr>
          <w:p>
            <w:r>
              <w:t xml:space="preserve">~51% / ~45% (FY26)</w:t>
            </w:r>
          </w:p>
        </w:tc>
      </w:tr>
      <w:tr>
        <w:tc>
          <w:tcPr>
            <w:tcW w:type="dxa" w:w="3200"/>
            <w:shd w:fill="F2F2F2" w:val="clear"/>
          </w:tcPr>
          <w:p>
            <w:r>
              <w:rPr>
                <w:b/>
                <w:bCs/>
              </w:rPr>
              <w:t xml:space="preserve">Revenue</w:t>
            </w:r>
          </w:p>
        </w:tc>
        <w:tc>
          <w:tcPr>
            <w:tcW w:type="dxa" w:w="5800"/>
          </w:tcPr>
          <w:p>
            <w:r>
              <w:t xml:space="preserve">FY25 total income Rs 2,360 Cr (+147% YoY); revenue roughly doubled again in FY26</w:t>
            </w:r>
          </w:p>
        </w:tc>
      </w:tr>
      <w:tr>
        <w:tc>
          <w:tcPr>
            <w:tcW w:type="dxa" w:w="3200"/>
            <w:shd w:fill="F2F2F2" w:val="clear"/>
          </w:tcPr>
          <w:p>
            <w:r>
              <w:rPr>
                <w:b/>
                <w:bCs/>
              </w:rPr>
              <w:t xml:space="preserve">PAT</w:t>
            </w:r>
          </w:p>
        </w:tc>
        <w:tc>
          <w:tcPr>
            <w:tcW w:type="dxa" w:w="5800"/>
          </w:tcPr>
          <w:p>
            <w:r>
              <w:t xml:space="preserve">Rs 9 Cr (FY23) -&gt; ~Rs 1,082 Cr (FY26); Q1 FY27 PAT Rs 380 Cr (+103% YoY)</w:t>
            </w:r>
          </w:p>
        </w:tc>
      </w:tr>
      <w:tr>
        <w:tc>
          <w:tcPr>
            <w:tcW w:type="dxa" w:w="3200"/>
            <w:shd w:fill="F2F2F2" w:val="clear"/>
          </w:tcPr>
          <w:p>
            <w:r>
              <w:rPr>
                <w:b/>
                <w:bCs/>
              </w:rPr>
              <w:t xml:space="preserve">Q1 FY27 margins</w:t>
            </w:r>
          </w:p>
        </w:tc>
        <w:tc>
          <w:tcPr>
            <w:tcW w:type="dxa" w:w="5800"/>
          </w:tcPr>
          <w:p>
            <w:r>
              <w:t xml:space="preserve">EBITDA margin 35.2% (all-time high); PAT margin 24.2% (record)</w:t>
            </w:r>
          </w:p>
        </w:tc>
      </w:tr>
      <w:tr>
        <w:tc>
          <w:tcPr>
            <w:tcW w:type="dxa" w:w="3200"/>
            <w:shd w:fill="F2F2F2" w:val="clear"/>
          </w:tcPr>
          <w:p>
            <w:r>
              <w:rPr>
                <w:b/>
                <w:bCs/>
              </w:rPr>
              <w:t xml:space="preserve">Order book</w:t>
            </w:r>
          </w:p>
        </w:tc>
        <w:tc>
          <w:tcPr>
            <w:tcW w:type="dxa" w:w="5800"/>
          </w:tcPr>
          <w:p>
            <w:r>
              <w:t xml:space="preserve">~9.9 GW all-time high; Q1 inflows 1.48 GW; repeat-customer rate 57%</w:t>
            </w:r>
          </w:p>
        </w:tc>
      </w:tr>
      <w:tr>
        <w:tc>
          <w:tcPr>
            <w:tcW w:type="dxa" w:w="3200"/>
            <w:shd w:fill="F2F2F2" w:val="clear"/>
          </w:tcPr>
          <w:p>
            <w:r>
              <w:rPr>
                <w:b/>
                <w:bCs/>
              </w:rPr>
              <w:t xml:space="preserve">Balance sheet</w:t>
            </w:r>
          </w:p>
        </w:tc>
        <w:tc>
          <w:tcPr>
            <w:tcW w:type="dxa" w:w="5800"/>
          </w:tcPr>
          <w:p>
            <w:r>
              <w:t xml:space="preserve">Debt/equity ~0.1; company has reduced debt</w:t>
            </w:r>
          </w:p>
        </w:tc>
      </w:tr>
      <w:tr>
        <w:tc>
          <w:tcPr>
            <w:tcW w:type="dxa" w:w="3200"/>
            <w:shd w:fill="F2F2F2" w:val="clear"/>
          </w:tcPr>
          <w:p>
            <w:r>
              <w:rPr>
                <w:b/>
                <w:bCs/>
              </w:rPr>
              <w:t xml:space="preserve">Stock P/E</w:t>
            </w:r>
          </w:p>
        </w:tc>
        <w:tc>
          <w:tcPr>
            <w:tcW w:type="dxa" w:w="5800"/>
          </w:tcPr>
          <w:p>
            <w:r>
              <w:t xml:space="preserve">~17-18x (optically low — but on peak-cycle margins)</w:t>
            </w:r>
          </w:p>
        </w:tc>
      </w:tr>
      <w:tr>
        <w:tc>
          <w:tcPr>
            <w:tcW w:type="dxa" w:w="3200"/>
            <w:shd w:fill="F2F2F2" w:val="clear"/>
          </w:tcPr>
          <w:p>
            <w:r>
              <w:rPr>
                <w:b/>
                <w:bCs/>
              </w:rPr>
              <w:t xml:space="preserve">Policy</w:t>
            </w:r>
          </w:p>
        </w:tc>
        <w:tc>
          <w:tcPr>
            <w:tcW w:type="dxa" w:w="5800"/>
          </w:tcPr>
          <w:p>
            <w:r>
              <w:t xml:space="preserve">ALMM List-II (mandatory domestic solar cells for eligible projects) effective Jun 2026; Emmvee is on the approved list, moving to a fully DCR-compliant portfolio</w:t>
            </w:r>
          </w:p>
        </w:tc>
      </w:tr>
    </w:tbl>
    <w:p>
      <w:pPr>
        <w:spacing w:after="100"/>
      </w:pPr>
    </w:p>
    <w:p>
      <w:pPr>
        <w:spacing w:after="120"/>
      </w:pPr>
      <w:r>
        <w:t xml:space="preserve">The 120x PAT jump in three years did not come from a new product — it came from ALMM (and DCR/PLI) rules that decide which panels can compete for a large, protected slice of India's ~45 GW/year solar demand, and Emmvee was one of very few Indian firms already built with integrated domestic cell capacity to capture it. Q1 FY27 margins (35% EBITDA, 24% PAT) are records. The risk is precisely that: solar cell/module manufacturing is globally one of the most brutally cyclical, commoditised industries, Chinese overcapacity is structural, and every major Indian player (Waaree, Premier Energies, Adani, ReNew, Tata Power, Websol and others) is adding integrated cell lines. As domestic cell supply catches up with the protected demand, today's margins normalise toward mid-teens EBITDA — so the ~17x optical P/E is on an earnings number that is very unlikely to be the through-cycle level.</w:t>
      </w:r>
    </w:p>
    <w:p>
      <w:pPr>
        <w:pStyle w:val="Heading1"/>
        <w:spacing w:after="120" w:before="280"/>
      </w:pPr>
      <w:r>
        <w:t xml:space="preserve">Ishmohit-Lens Checks (value chain · earnings quality · growth trajectory · management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India solar manufacturing -- domestic content (ALMM / DCR / PLI)</w:t>
            </w:r>
          </w:p>
        </w:tc>
      </w:tr>
      <w:tr>
        <w:tc>
          <w:tcPr>
            <w:tcW w:type="dxa" w:w="3200"/>
            <w:shd w:fill="F2F2F2" w:val="clear"/>
          </w:tcPr>
          <w:p>
            <w:r>
              <w:rPr>
                <w:b/>
                <w:bCs/>
              </w:rPr>
              <w:t xml:space="preserve">This company's position</w:t>
            </w:r>
          </w:p>
        </w:tc>
        <w:tc>
          <w:tcPr>
            <w:tcW w:type="dxa" w:w="5800"/>
          </w:tcPr>
          <w:p>
            <w:r>
              <w:t xml:space="preserve">integrated TOPCon solar cell + module manufacturer (one of ~2 pure-play integrated Indian players by capacity)</w:t>
            </w:r>
          </w:p>
        </w:tc>
      </w:tr>
      <w:tr>
        <w:tc>
          <w:tcPr>
            <w:tcW w:type="dxa" w:w="3200"/>
            <w:shd w:fill="F2F2F2" w:val="clear"/>
          </w:tcPr>
          <w:p>
            <w:r>
              <w:rPr>
                <w:b/>
                <w:bCs/>
              </w:rPr>
              <w:t xml:space="preserve">Bottleneck node (pricing power)</w:t>
            </w:r>
          </w:p>
        </w:tc>
        <w:tc>
          <w:tcPr>
            <w:tcW w:type="dxa" w:w="5800"/>
          </w:tcPr>
          <w:p>
            <w:r>
              <w:t xml:space="preserve">domestic solar cell capacity (ALMM List-II mandate) -- currently short, being filled fast</w:t>
            </w:r>
          </w:p>
        </w:tc>
      </w:tr>
      <w:tr>
        <w:tc>
          <w:tcPr>
            <w:tcW w:type="dxa" w:w="3200"/>
            <w:shd w:fill="F2F2F2" w:val="clear"/>
          </w:tcPr>
          <w:p>
            <w:r>
              <w:rPr>
                <w:b/>
                <w:bCs/>
              </w:rPr>
              <w:t xml:space="preserve">Supply-side status</w:t>
            </w:r>
          </w:p>
        </w:tc>
        <w:tc>
          <w:tcPr>
            <w:tcW w:type="dxa" w:w="5800"/>
          </w:tcPr>
          <w:p>
            <w:r>
              <w:t xml:space="preserve">adding</w:t>
            </w:r>
          </w:p>
        </w:tc>
      </w:tr>
      <w:tr>
        <w:tc>
          <w:tcPr>
            <w:tcW w:type="dxa" w:w="3200"/>
            <w:shd w:fill="F2F2F2" w:val="clear"/>
          </w:tcPr>
          <w:p>
            <w:r>
              <w:rPr>
                <w:b/>
                <w:bCs/>
              </w:rPr>
              <w:t xml:space="preserve">Adjacent-node peers</w:t>
            </w:r>
          </w:p>
        </w:tc>
        <w:tc>
          <w:tcPr>
            <w:tcW w:type="dxa" w:w="5800"/>
          </w:tcPr>
          <w:p>
            <w:r>
              <w:t xml:space="preserve">Premier Energies, Waaree Energies, Websol Energy, Adani Solar (unlisted)</w:t>
            </w:r>
          </w:p>
        </w:tc>
      </w:tr>
    </w:tbl>
    <w:p>
      <w:pPr>
        <w:spacing w:after="120"/>
      </w:pPr>
      <w:r>
        <w:rPr>
          <w:color w:val="666666"/>
          <w:sz w:val="18"/>
          <w:szCs w:val="18"/>
        </w:rPr>
        <w:t xml:space="preserve">Capital-cycle read: supply-side 'adding' across every major player = late-cycle glut risk. The protected demand pool is real today, but the entire industry is racing to add integrated cell capacity, which is what normalises the current peak margins.</w:t>
      </w:r>
    </w:p>
    <w:p>
      <w:pPr>
        <w:pStyle w:val="Heading1"/>
        <w:spacing w:after="120" w:before="280"/>
      </w:pPr>
      <w:r>
        <w:t xml:space="preserve">Technical Read (Weekly / Monthly MACD + Bollinger Bands, or RSI/CCI/Williams %R proxy)</w:t>
      </w:r>
    </w:p>
    <w:p>
      <w:pPr>
        <w:spacing w:after="120"/>
      </w:pPr>
      <w:r>
        <w:t xml:space="preserve">Not pulled. Listed Nov 2025; has traded well above the ~Rs 217 issue price.</w:t>
      </w:r>
    </w:p>
    <w:p>
      <w:pPr>
        <w:pStyle w:val="Heading1"/>
        <w:spacing w:after="120" w:before="280"/>
      </w:pPr>
      <w:r>
        <w:t xml:space="preserve">ValuePickr Community Signal</w:t>
      </w:r>
    </w:p>
    <w:p>
      <w:pPr>
        <w:spacing w:after="120"/>
      </w:pPr>
      <w:r>
        <w:t xml:space="preserve">The dedicated ValuePickr thread ('...Riding India's Domestic Cell Push', topic 224108) was opened on 2026-09-04 and has a single introductory write-up by Praveen_George (not on the trusted roster) laying out the ALMM-driven earnings story; a second thread (topic 220040) has ~4 posts. There is no community track record, no disagreement thread, and no trusted-user engagement yet — the forum read here is effectively a placeholder.</w:t>
      </w:r>
    </w:p>
    <w:p>
      <w:pPr>
        <w:spacing w:after="120"/>
      </w:pPr>
      <w:r>
        <w:rPr>
          <w:b/>
          <w:bCs/>
          <w:sz w:val="20"/>
          <w:szCs w:val="20"/>
        </w:rPr>
        <w:t xml:space="preserve">High-conviction call from a top contributor: </w:t>
      </w:r>
      <w:r>
        <w:rPr>
          <w:sz w:val="20"/>
          <w:szCs w:val="20"/>
        </w:rPr>
        <w:t xml:space="preserve">None. No trusted-user calls; the VP thread is a day old with one post. Assessment rests on filings and news.</w:t>
      </w:r>
    </w:p>
    <w:p>
      <w:pPr>
        <w:pStyle w:val="Heading1"/>
        <w:spacing w:after="120" w:before="280"/>
      </w:pPr>
      <w:r>
        <w:t xml:space="preserve">BSE Corporate Actions / Other Red Flags</w:t>
      </w:r>
    </w:p>
    <w:p>
      <w:pPr>
        <w:spacing w:after="120"/>
      </w:pPr>
      <w:r>
        <w:t xml:space="preserve">No SEBI/fraud order; no going-concern issue (net-cash, D/E ~0.1). The material 'watch' is not governance but earnings quality: reported margins and ROE are at a policy-driven cyclical peak.</w:t>
      </w:r>
    </w:p>
    <w:p>
      <w:pPr>
        <w:pStyle w:val="Heading1"/>
        <w:spacing w:after="120" w:before="280"/>
      </w:pPr>
      <w:r>
        <w:t xml:space="preserve">Bull Case</w:t>
      </w:r>
    </w:p>
    <w:p>
      <w:pPr>
        <w:pStyle w:val="ListParagraph"/>
        <w:numPr>
          <w:ilvl w:val="0"/>
          <w:numId w:val="1"/>
        </w:numPr>
        <w:spacing w:after="60"/>
      </w:pPr>
      <w:r>
        <w:t xml:space="preserve">ALMM List-II / DCR / PLI create a protected, multi-GW domestic demand pool that only listed-and-approved integrated cell makers can serve; Emmvee is one of the few already built for it</w:t>
      </w:r>
    </w:p>
    <w:p>
      <w:pPr>
        <w:pStyle w:val="ListParagraph"/>
        <w:numPr>
          <w:ilvl w:val="0"/>
          <w:numId w:val="1"/>
        </w:numPr>
        <w:spacing w:after="60"/>
      </w:pPr>
      <w:r>
        <w:t xml:space="preserve">Explosive, real growth: PAT Rs 9 Cr -&gt; Rs 1,082 Cr in 3 years; Q1 FY27 revenue +51%, PAT +103%; 9.9 GW order book; 57% repeat customers</w:t>
      </w:r>
    </w:p>
    <w:p>
      <w:pPr>
        <w:pStyle w:val="ListParagraph"/>
        <w:numPr>
          <w:ilvl w:val="0"/>
          <w:numId w:val="1"/>
        </w:numPr>
        <w:spacing w:after="60"/>
      </w:pPr>
      <w:r>
        <w:t xml:space="preserve">Capacity +~60% by early FY28 (6 GW integrated TOPCon line) with the order book to fill it; net-cash balance sheet, ~50% ROE</w:t>
      </w:r>
    </w:p>
    <w:p>
      <w:pPr>
        <w:pStyle w:val="ListParagraph"/>
        <w:numPr>
          <w:ilvl w:val="0"/>
          <w:numId w:val="1"/>
        </w:numPr>
        <w:spacing w:after="60"/>
      </w:pPr>
      <w:r>
        <w:t xml:space="preserve">~17x optical P/E is low for the headline growth rate</w:t>
      </w:r>
    </w:p>
    <w:p>
      <w:pPr>
        <w:pStyle w:val="Heading1"/>
        <w:spacing w:after="120" w:before="280"/>
      </w:pPr>
      <w:r>
        <w:t xml:space="preserve">Bear Case / Key Risks</w:t>
      </w:r>
    </w:p>
    <w:p>
      <w:pPr>
        <w:pStyle w:val="ListParagraph"/>
        <w:numPr>
          <w:ilvl w:val="0"/>
          <w:numId w:val="1"/>
        </w:numPr>
        <w:spacing w:after="60"/>
      </w:pPr>
      <w:r>
        <w:t xml:space="preserve">Earnings quality: 35% EBITDA / 24% PAT margins are a domestic-content super-cycle peak — solar cell/module making is globally the most commoditised, cyclical hardware business there is</w:t>
      </w:r>
    </w:p>
    <w:p>
      <w:pPr>
        <w:pStyle w:val="ListParagraph"/>
        <w:numPr>
          <w:ilvl w:val="0"/>
          <w:numId w:val="1"/>
        </w:numPr>
        <w:spacing w:after="60"/>
      </w:pPr>
      <w:r>
        <w:t xml:space="preserve">Industry-wide capacity build (Waaree, Premier Energies, Adani, ReNew, Tata Power, Websol...) — supply-side is 'adding', the classic late-cycle glut setup; once domestic cell supply meets the protected demand, margins normalise hard</w:t>
      </w:r>
    </w:p>
    <w:p>
      <w:pPr>
        <w:pStyle w:val="ListParagraph"/>
        <w:numPr>
          <w:ilvl w:val="0"/>
          <w:numId w:val="1"/>
        </w:numPr>
        <w:spacing w:after="60"/>
      </w:pPr>
      <w:r>
        <w:t xml:space="preserve">No moat beyond being early + on the ALMM list — TOPCon is a widely-licensed technology, and the policy protection can be diluted as capacity comes online</w:t>
      </w:r>
    </w:p>
    <w:p>
      <w:pPr>
        <w:pStyle w:val="ListParagraph"/>
        <w:numPr>
          <w:ilvl w:val="0"/>
          <w:numId w:val="1"/>
        </w:numPr>
        <w:spacing w:after="60"/>
      </w:pPr>
      <w:r>
        <w:t xml:space="preserve">Realistic base case is ~2-3x if margins hold and meaningfully negative if they don't; the ~17x P/E flatters a peak number</w:t>
      </w:r>
    </w:p>
    <w:p>
      <w:pPr>
        <w:pStyle w:val="ListParagraph"/>
        <w:numPr>
          <w:ilvl w:val="0"/>
          <w:numId w:val="1"/>
        </w:numPr>
        <w:spacing w:after="60"/>
      </w:pPr>
      <w:r>
        <w:t xml:space="preserve">External lead from an untrusted X handle (@AnirbanManna10); no VP community validation</w:t>
      </w:r>
    </w:p>
    <w:p>
      <w:pPr>
        <w:pStyle w:val="Heading1"/>
        <w:spacing w:after="120" w:before="280"/>
      </w:pPr>
      <w:r>
        <w:t xml:space="preserve">Market-Cap Tier (informational — not a gate in this project)</w:t>
      </w:r>
    </w:p>
    <w:p>
      <w:pPr>
        <w:spacing w:after="120"/>
      </w:pPr>
      <w:r>
        <w:rPr>
          <w:b/>
          <w:bCs/>
        </w:rPr>
        <w:t xml:space="preserve">Mid-cap (~Rs 22,000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yes · TAM: weak · moat: weak · valuation: weak  (score 2.5 / 4)</w:t>
      </w:r>
    </w:p>
    <w:p>
      <w:pPr>
        <w:spacing w:after="120"/>
      </w:pPr>
      <w:r>
        <w:rPr>
          <w:i/>
          <w:iCs/>
          <w:color w:val="666666"/>
          <w:sz w:val="20"/>
          <w:szCs w:val="20"/>
        </w:rPr>
        <w:t xml:space="preserve">tailwind yes (multi-year India solar build + domestic-content policy). tam weak (huge volume TAM, but the profit pool erodes as capacity is added). moat weak (early + ALMM-listed, but TOPCon is licensed tech and every major is integrating). valuation weak (~17x optical P/E is on peak-cycle margins; normalised multiple is much higher). Score 2.5.</w:t>
      </w:r>
    </w:p>
    <w:p>
      <w:pPr>
        <w:pStyle w:val="Heading1"/>
        <w:spacing w:after="120" w:before="280"/>
      </w:pPr>
      <w:r>
        <w:t xml:space="preserve">Verdict</w:t>
      </w:r>
    </w:p>
    <w:p>
      <w:pPr>
        <w:spacing w:after="120"/>
      </w:pPr>
      <w:r>
        <w:rPr>
          <w:b/>
          <w:bCs/>
          <w:sz w:val="24"/>
          <w:szCs w:val="24"/>
        </w:rPr>
      </w:r>
    </w:p>
    <w:p>
      <w:pPr>
        <w:pStyle w:val="ListParagraph"/>
        <w:numPr>
          <w:ilvl w:val="0"/>
          <w:numId w:val="1"/>
        </w:numPr>
        <w:spacing w:after="60"/>
      </w:pPr>
      <w:r>
        <w:t xml:space="preserve">External-lead (tier 4.5) from untrusted X handle @AnirbanManna10 ('can compound PAT 50%+ CAGR absent overcapacity' — note the conditional). four_box score 2.5; the phreak un-ignorable-growth exception was available (PAT 120x in 3 years, Q1 FY27 PAT +103%, 9.9 GW order book, capacity +60% by FY28) and was explicitly CONSIDERED — but declined, because the earnings base is a policy-driven cyclical peak (peak_margin_risk) into an industry-wide integrated-cell capacity build (value-chain supply-side 'adding' = glut risk). Growth that rests on a super-cycle margin is not durable enough to underwrite a 10x. thesis_fit 'neither'.</w:t>
      </w:r>
    </w:p>
    <w:p>
      <w:pPr>
        <w:pStyle w:val="ListParagraph"/>
        <w:numPr>
          <w:ilvl w:val="0"/>
          <w:numId w:val="1"/>
        </w:numPr>
        <w:spacing w:after="60"/>
      </w:pPr>
      <w:r>
        <w:t xml:space="preserve">Conviction Medium: this is a genuine, well-run, net-cash business with real demand and a raised capacity plan — clearly worth tracking — but no moat and a commoditising, cyclical profit pool keep it out of the multi-bagger bucket. Realistic case ~2-3x if margins hold.</w:t>
      </w:r>
    </w:p>
    <w:p>
      <w:pPr>
        <w:pStyle w:val="ListParagraph"/>
        <w:numPr>
          <w:ilvl w:val="0"/>
          <w:numId w:val="1"/>
        </w:numPr>
        <w:spacing w:after="60"/>
      </w:pPr>
      <w:r>
        <w:t xml:space="preserve">No live-theme match (no standalone 'solar manufacturing' theme in active_themes.json). value_chain seeded. No red flag. revisit_after_30d false by rule (conviction Medium, thesis_fit neither); re-check specifically after the Q2/Q3 FY27 margin prints and any sign of module/cell price softening as new domestic capacity commissions.</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2026-09-04T08:19:18.679Z</dcterms:created>
  <dcterms:modified xsi:type="dcterms:W3CDTF">2026-09-04T08:19:18.680Z</dcterms:modified>
</cp:coreProperties>
</file>

<file path=docProps/custom.xml><?xml version="1.0" encoding="utf-8"?>
<Properties xmlns="http://schemas.openxmlformats.org/officeDocument/2006/custom-properties" xmlns:vt="http://schemas.openxmlformats.org/officeDocument/2006/docPropsVTypes"/>
</file>